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21844" w14:textId="77777777" w:rsidR="0045406C" w:rsidRPr="00555FDF" w:rsidRDefault="0045406C" w:rsidP="004428C1">
      <w:pPr>
        <w:autoSpaceDE w:val="0"/>
        <w:autoSpaceDN w:val="0"/>
        <w:adjustRightInd w:val="0"/>
        <w:jc w:val="right"/>
        <w:rPr>
          <w:lang w:val="ro-RO"/>
        </w:rPr>
      </w:pPr>
      <w:r w:rsidRPr="00555FDF">
        <w:rPr>
          <w:lang w:val="ro-RO"/>
        </w:rPr>
        <w:t xml:space="preserve">                                                                                       Proiect               </w:t>
      </w:r>
    </w:p>
    <w:p w14:paraId="32D9B162" w14:textId="77777777" w:rsidR="0045406C" w:rsidRPr="00555FDF" w:rsidRDefault="0045406C" w:rsidP="004428C1">
      <w:pPr>
        <w:autoSpaceDE w:val="0"/>
        <w:autoSpaceDN w:val="0"/>
        <w:adjustRightInd w:val="0"/>
        <w:jc w:val="both"/>
        <w:rPr>
          <w:lang w:val="ro-RO"/>
        </w:rPr>
      </w:pPr>
    </w:p>
    <w:p w14:paraId="6476DDC8" w14:textId="77777777" w:rsidR="0045406C" w:rsidRPr="00555FDF" w:rsidRDefault="0045406C" w:rsidP="004428C1">
      <w:pPr>
        <w:autoSpaceDE w:val="0"/>
        <w:autoSpaceDN w:val="0"/>
        <w:adjustRightInd w:val="0"/>
        <w:jc w:val="both"/>
        <w:rPr>
          <w:lang w:val="ro-RO"/>
        </w:rPr>
      </w:pPr>
      <w:r w:rsidRPr="00555FDF">
        <w:rPr>
          <w:lang w:val="ro-RO"/>
        </w:rPr>
        <w:t xml:space="preserve">                                </w:t>
      </w:r>
    </w:p>
    <w:p w14:paraId="3F27320D" w14:textId="77777777" w:rsidR="0045406C" w:rsidRPr="00555FDF" w:rsidRDefault="0045406C" w:rsidP="004428C1">
      <w:pPr>
        <w:autoSpaceDE w:val="0"/>
        <w:autoSpaceDN w:val="0"/>
        <w:adjustRightInd w:val="0"/>
        <w:jc w:val="both"/>
        <w:rPr>
          <w:lang w:val="ro-RO"/>
        </w:rPr>
      </w:pPr>
    </w:p>
    <w:p w14:paraId="5DB7E1E1" w14:textId="77777777" w:rsidR="0045406C" w:rsidRPr="00555FDF" w:rsidRDefault="0045406C" w:rsidP="004428C1">
      <w:pPr>
        <w:autoSpaceDE w:val="0"/>
        <w:autoSpaceDN w:val="0"/>
        <w:adjustRightInd w:val="0"/>
        <w:jc w:val="center"/>
        <w:rPr>
          <w:b/>
          <w:bCs/>
          <w:lang w:val="ro-RO"/>
        </w:rPr>
      </w:pPr>
      <w:r w:rsidRPr="00555FDF">
        <w:rPr>
          <w:b/>
          <w:bCs/>
          <w:lang w:val="ro-RO"/>
        </w:rPr>
        <w:t>BANCA NAŢIONALĂ A MOLDOVEI</w:t>
      </w:r>
    </w:p>
    <w:p w14:paraId="726167AD" w14:textId="77777777" w:rsidR="0045406C" w:rsidRPr="00555FDF" w:rsidRDefault="0045406C" w:rsidP="004428C1">
      <w:pPr>
        <w:autoSpaceDE w:val="0"/>
        <w:autoSpaceDN w:val="0"/>
        <w:adjustRightInd w:val="0"/>
        <w:jc w:val="center"/>
        <w:rPr>
          <w:b/>
          <w:bCs/>
          <w:lang w:val="ro-RO"/>
        </w:rPr>
      </w:pPr>
      <w:r w:rsidRPr="00555FDF">
        <w:rPr>
          <w:b/>
          <w:bCs/>
          <w:lang w:val="ro-RO"/>
        </w:rPr>
        <w:t>COMITETUL EXECUTIV</w:t>
      </w:r>
    </w:p>
    <w:p w14:paraId="1DD34A1E" w14:textId="77777777" w:rsidR="0045406C" w:rsidRPr="00555FDF" w:rsidRDefault="0045406C" w:rsidP="004428C1">
      <w:pPr>
        <w:autoSpaceDE w:val="0"/>
        <w:autoSpaceDN w:val="0"/>
        <w:adjustRightInd w:val="0"/>
        <w:jc w:val="center"/>
        <w:rPr>
          <w:lang w:val="ro-RO"/>
        </w:rPr>
      </w:pPr>
    </w:p>
    <w:p w14:paraId="4DCF1486" w14:textId="77777777" w:rsidR="0045406C" w:rsidRPr="00555FDF" w:rsidRDefault="0045406C" w:rsidP="004428C1">
      <w:pPr>
        <w:autoSpaceDE w:val="0"/>
        <w:autoSpaceDN w:val="0"/>
        <w:adjustRightInd w:val="0"/>
        <w:jc w:val="center"/>
        <w:rPr>
          <w:b/>
          <w:lang w:val="ro-RO"/>
        </w:rPr>
      </w:pPr>
      <w:r w:rsidRPr="00555FDF">
        <w:rPr>
          <w:b/>
          <w:lang w:val="ro-RO"/>
        </w:rPr>
        <w:t>HOTĂRÂREA</w:t>
      </w:r>
      <w:r w:rsidR="00E213A0" w:rsidRPr="00555FDF">
        <w:rPr>
          <w:b/>
          <w:lang w:val="ro-RO"/>
        </w:rPr>
        <w:t xml:space="preserve"> </w:t>
      </w:r>
      <w:r w:rsidRPr="00555FDF">
        <w:rPr>
          <w:b/>
          <w:lang w:val="ro-RO"/>
        </w:rPr>
        <w:t>nr.</w:t>
      </w:r>
      <w:r w:rsidRPr="00555FDF">
        <w:rPr>
          <w:b/>
          <w:u w:val="single"/>
          <w:lang w:val="ro-RO"/>
        </w:rPr>
        <w:t>__</w:t>
      </w:r>
    </w:p>
    <w:p w14:paraId="567ACB7B" w14:textId="7631BE0B" w:rsidR="00FE6148" w:rsidRPr="00555FDF" w:rsidRDefault="0045406C" w:rsidP="004428C1">
      <w:pPr>
        <w:autoSpaceDE w:val="0"/>
        <w:autoSpaceDN w:val="0"/>
        <w:adjustRightInd w:val="0"/>
        <w:jc w:val="center"/>
        <w:rPr>
          <w:b/>
          <w:lang w:val="ro-RO"/>
        </w:rPr>
      </w:pPr>
      <w:r w:rsidRPr="00555FDF">
        <w:rPr>
          <w:b/>
          <w:lang w:val="ro-RO"/>
        </w:rPr>
        <w:t xml:space="preserve">din „ </w:t>
      </w:r>
      <w:r w:rsidRPr="00555FDF">
        <w:rPr>
          <w:b/>
          <w:u w:val="single"/>
          <w:lang w:val="ro-RO"/>
        </w:rPr>
        <w:t>__</w:t>
      </w:r>
      <w:r w:rsidRPr="00555FDF">
        <w:rPr>
          <w:b/>
          <w:lang w:val="ro-RO"/>
        </w:rPr>
        <w:t xml:space="preserve">” </w:t>
      </w:r>
      <w:r w:rsidRPr="00555FDF">
        <w:rPr>
          <w:b/>
          <w:u w:val="single"/>
          <w:lang w:val="ro-RO"/>
        </w:rPr>
        <w:t>____________</w:t>
      </w:r>
      <w:r w:rsidRPr="00555FDF">
        <w:rPr>
          <w:b/>
          <w:lang w:val="ro-RO"/>
        </w:rPr>
        <w:t>202</w:t>
      </w:r>
      <w:r w:rsidR="00356C1A">
        <w:rPr>
          <w:b/>
          <w:lang w:val="ro-RO"/>
        </w:rPr>
        <w:t>5</w:t>
      </w:r>
    </w:p>
    <w:p w14:paraId="3FA34008" w14:textId="77777777" w:rsidR="0045406C" w:rsidRPr="00555FDF" w:rsidRDefault="0045406C" w:rsidP="004428C1">
      <w:pPr>
        <w:autoSpaceDE w:val="0"/>
        <w:autoSpaceDN w:val="0"/>
        <w:adjustRightInd w:val="0"/>
        <w:jc w:val="both"/>
        <w:rPr>
          <w:b/>
          <w:lang w:val="ro-RO"/>
        </w:rPr>
      </w:pPr>
    </w:p>
    <w:p w14:paraId="74DC41E1" w14:textId="77777777" w:rsidR="000C28A7" w:rsidRPr="00555FDF" w:rsidRDefault="000C28A7" w:rsidP="004428C1">
      <w:pPr>
        <w:autoSpaceDE w:val="0"/>
        <w:autoSpaceDN w:val="0"/>
        <w:adjustRightInd w:val="0"/>
        <w:jc w:val="both"/>
        <w:rPr>
          <w:b/>
          <w:lang w:val="ro-RO"/>
        </w:rPr>
      </w:pPr>
    </w:p>
    <w:p w14:paraId="40D83FD0" w14:textId="77777777" w:rsidR="000C28A7" w:rsidRPr="00555FDF" w:rsidRDefault="000C28A7" w:rsidP="004428C1">
      <w:pPr>
        <w:autoSpaceDE w:val="0"/>
        <w:autoSpaceDN w:val="0"/>
        <w:adjustRightInd w:val="0"/>
        <w:jc w:val="both"/>
        <w:rPr>
          <w:b/>
          <w:lang w:val="ro-RO"/>
        </w:rPr>
      </w:pPr>
    </w:p>
    <w:p w14:paraId="4314D7C5" w14:textId="7158FE8A" w:rsidR="003D2F83" w:rsidRPr="00555FDF" w:rsidRDefault="00D9411A" w:rsidP="004428C1">
      <w:pPr>
        <w:autoSpaceDE w:val="0"/>
        <w:autoSpaceDN w:val="0"/>
        <w:adjustRightInd w:val="0"/>
        <w:jc w:val="center"/>
        <w:rPr>
          <w:b/>
          <w:lang w:val="ro-RO"/>
        </w:rPr>
      </w:pPr>
      <w:r w:rsidRPr="00555FDF">
        <w:rPr>
          <w:b/>
          <w:lang w:val="ro-RO"/>
        </w:rPr>
        <w:t>c</w:t>
      </w:r>
      <w:r w:rsidR="000C28A7" w:rsidRPr="00555FDF">
        <w:rPr>
          <w:b/>
          <w:lang w:val="ro-RO"/>
        </w:rPr>
        <w:t>u privire la modificarea</w:t>
      </w:r>
      <w:r w:rsidR="00CD6929" w:rsidRPr="00555FDF">
        <w:rPr>
          <w:b/>
          <w:lang w:val="ro-RO"/>
        </w:rPr>
        <w:t xml:space="preserve"> unor </w:t>
      </w:r>
      <w:r w:rsidR="00A12149" w:rsidRPr="00555FDF">
        <w:rPr>
          <w:b/>
          <w:lang w:val="ro-RO"/>
        </w:rPr>
        <w:t>acte normative</w:t>
      </w:r>
      <w:r w:rsidR="00CD6929" w:rsidRPr="00555FDF">
        <w:rPr>
          <w:b/>
          <w:lang w:val="ro-RO"/>
        </w:rPr>
        <w:t xml:space="preserve"> ale Băncii Naționale </w:t>
      </w:r>
      <w:r w:rsidR="00FE6148" w:rsidRPr="00555FDF">
        <w:rPr>
          <w:b/>
          <w:lang w:val="ro-RO"/>
        </w:rPr>
        <w:t>a Moldovei</w:t>
      </w:r>
    </w:p>
    <w:p w14:paraId="6639EB16" w14:textId="77777777" w:rsidR="00422458" w:rsidRPr="00555FDF" w:rsidRDefault="00422458" w:rsidP="004428C1">
      <w:pPr>
        <w:autoSpaceDE w:val="0"/>
        <w:autoSpaceDN w:val="0"/>
        <w:adjustRightInd w:val="0"/>
        <w:jc w:val="center"/>
        <w:rPr>
          <w:b/>
          <w:lang w:val="ro-RO"/>
        </w:rPr>
      </w:pPr>
    </w:p>
    <w:p w14:paraId="5E02C937" w14:textId="77777777" w:rsidR="001D20F8" w:rsidRPr="00555FDF" w:rsidRDefault="001D20F8" w:rsidP="004428C1">
      <w:pPr>
        <w:autoSpaceDE w:val="0"/>
        <w:autoSpaceDN w:val="0"/>
        <w:adjustRightInd w:val="0"/>
        <w:jc w:val="center"/>
        <w:rPr>
          <w:bCs/>
          <w:lang w:val="ro-RO"/>
        </w:rPr>
      </w:pPr>
    </w:p>
    <w:p w14:paraId="11D08318" w14:textId="77777777" w:rsidR="001D20F8" w:rsidRPr="00555FDF" w:rsidRDefault="001D20F8" w:rsidP="002F134A">
      <w:pPr>
        <w:autoSpaceDE w:val="0"/>
        <w:autoSpaceDN w:val="0"/>
        <w:adjustRightInd w:val="0"/>
        <w:rPr>
          <w:b/>
          <w:lang w:val="ro-RO"/>
        </w:rPr>
      </w:pPr>
    </w:p>
    <w:p w14:paraId="4E18FFFD" w14:textId="77777777" w:rsidR="001D20F8" w:rsidRPr="00555FDF" w:rsidRDefault="001D20F8" w:rsidP="00256F99">
      <w:pPr>
        <w:autoSpaceDE w:val="0"/>
        <w:autoSpaceDN w:val="0"/>
        <w:adjustRightInd w:val="0"/>
        <w:ind w:firstLine="2977"/>
        <w:rPr>
          <w:bCs/>
          <w:lang w:val="ro-RO"/>
        </w:rPr>
      </w:pPr>
      <w:r w:rsidRPr="00555FDF">
        <w:rPr>
          <w:bCs/>
          <w:lang w:val="ro-RO"/>
        </w:rPr>
        <w:t>ÎNREGISTRAT:</w:t>
      </w:r>
    </w:p>
    <w:p w14:paraId="302173F0" w14:textId="1E604D1A" w:rsidR="001D20F8" w:rsidRPr="00555FDF" w:rsidRDefault="001D20F8" w:rsidP="00256F99">
      <w:pPr>
        <w:autoSpaceDE w:val="0"/>
        <w:autoSpaceDN w:val="0"/>
        <w:adjustRightInd w:val="0"/>
        <w:ind w:firstLine="2977"/>
        <w:rPr>
          <w:bCs/>
          <w:lang w:val="ro-RO"/>
        </w:rPr>
      </w:pPr>
      <w:r w:rsidRPr="00555FDF">
        <w:rPr>
          <w:bCs/>
          <w:lang w:val="ro-RO"/>
        </w:rPr>
        <w:t xml:space="preserve">Ministerul </w:t>
      </w:r>
      <w:r w:rsidR="0019179C" w:rsidRPr="00555FDF">
        <w:rPr>
          <w:bCs/>
          <w:lang w:val="ro-RO"/>
        </w:rPr>
        <w:t>Justiției</w:t>
      </w:r>
    </w:p>
    <w:p w14:paraId="0E698EAA" w14:textId="77777777" w:rsidR="001D20F8" w:rsidRPr="00555FDF" w:rsidRDefault="001D20F8" w:rsidP="00256F99">
      <w:pPr>
        <w:autoSpaceDE w:val="0"/>
        <w:autoSpaceDN w:val="0"/>
        <w:adjustRightInd w:val="0"/>
        <w:ind w:firstLine="2977"/>
        <w:rPr>
          <w:bCs/>
          <w:lang w:val="ro-RO"/>
        </w:rPr>
      </w:pPr>
      <w:r w:rsidRPr="00555FDF">
        <w:rPr>
          <w:bCs/>
          <w:lang w:val="ro-RO"/>
        </w:rPr>
        <w:t>al Republicii Moldova</w:t>
      </w:r>
    </w:p>
    <w:p w14:paraId="0292C662" w14:textId="04BFD627" w:rsidR="001D20F8" w:rsidRPr="00555FDF" w:rsidRDefault="001D20F8" w:rsidP="00256F99">
      <w:pPr>
        <w:autoSpaceDE w:val="0"/>
        <w:autoSpaceDN w:val="0"/>
        <w:adjustRightInd w:val="0"/>
        <w:ind w:firstLine="2977"/>
        <w:rPr>
          <w:bCs/>
          <w:lang w:val="ro-RO"/>
        </w:rPr>
      </w:pPr>
      <w:r w:rsidRPr="00555FDF">
        <w:rPr>
          <w:bCs/>
          <w:lang w:val="ro-RO"/>
        </w:rPr>
        <w:t>nr.____ din</w:t>
      </w:r>
      <w:r w:rsidR="002F134A">
        <w:rPr>
          <w:bCs/>
          <w:lang w:val="ro-RO"/>
        </w:rPr>
        <w:t xml:space="preserve"> </w:t>
      </w:r>
      <w:bookmarkStart w:id="0" w:name="_Hlk186184789"/>
      <w:r w:rsidRPr="00555FDF">
        <w:rPr>
          <w:bCs/>
          <w:lang w:val="ro-RO"/>
        </w:rPr>
        <w:t>_____</w:t>
      </w:r>
      <w:r w:rsidR="002F134A">
        <w:rPr>
          <w:bCs/>
          <w:lang w:val="ro-RO"/>
        </w:rPr>
        <w:t>________</w:t>
      </w:r>
      <w:bookmarkEnd w:id="0"/>
      <w:r w:rsidRPr="00555FDF">
        <w:rPr>
          <w:bCs/>
          <w:lang w:val="ro-RO"/>
        </w:rPr>
        <w:t>202</w:t>
      </w:r>
      <w:r w:rsidR="00524CD4">
        <w:rPr>
          <w:bCs/>
          <w:lang w:val="ro-RO"/>
        </w:rPr>
        <w:t>5</w:t>
      </w:r>
    </w:p>
    <w:p w14:paraId="09985B04" w14:textId="6EA4E397" w:rsidR="00AE5D2F" w:rsidRPr="00555FDF" w:rsidRDefault="00AE5D2F" w:rsidP="00256F99">
      <w:pPr>
        <w:autoSpaceDE w:val="0"/>
        <w:autoSpaceDN w:val="0"/>
        <w:adjustRightInd w:val="0"/>
        <w:ind w:firstLine="2977"/>
        <w:rPr>
          <w:bCs/>
          <w:lang w:val="ro-RO"/>
        </w:rPr>
      </w:pPr>
      <w:proofErr w:type="spellStart"/>
      <w:r w:rsidRPr="00555FDF">
        <w:rPr>
          <w:bCs/>
          <w:lang w:val="ro-RO"/>
        </w:rPr>
        <w:t>Ministr</w:t>
      </w:r>
      <w:r w:rsidR="00524CD4">
        <w:rPr>
          <w:bCs/>
          <w:lang w:val="ro-RO"/>
        </w:rPr>
        <w:t>u_________</w:t>
      </w:r>
      <w:r w:rsidRPr="00555FDF">
        <w:rPr>
          <w:bCs/>
          <w:lang w:val="ro-RO"/>
        </w:rPr>
        <w:t>_______</w:t>
      </w:r>
      <w:r w:rsidR="002F134A">
        <w:rPr>
          <w:bCs/>
          <w:lang w:val="ro-RO"/>
        </w:rPr>
        <w:t>Veronica</w:t>
      </w:r>
      <w:proofErr w:type="spellEnd"/>
      <w:r w:rsidR="002F134A">
        <w:rPr>
          <w:bCs/>
          <w:lang w:val="ro-RO"/>
        </w:rPr>
        <w:t xml:space="preserve"> MIHAILOV-MORARU</w:t>
      </w:r>
    </w:p>
    <w:p w14:paraId="7F5D4983" w14:textId="77777777" w:rsidR="001D20F8" w:rsidRPr="00555FDF" w:rsidRDefault="001D20F8" w:rsidP="004428C1">
      <w:pPr>
        <w:autoSpaceDE w:val="0"/>
        <w:autoSpaceDN w:val="0"/>
        <w:adjustRightInd w:val="0"/>
        <w:jc w:val="center"/>
        <w:rPr>
          <w:b/>
          <w:lang w:val="ro-RO"/>
        </w:rPr>
      </w:pPr>
    </w:p>
    <w:p w14:paraId="76CCB7DE" w14:textId="77777777" w:rsidR="0045406C" w:rsidRPr="00555FDF" w:rsidRDefault="0045406C" w:rsidP="00FA1272">
      <w:pPr>
        <w:autoSpaceDE w:val="0"/>
        <w:autoSpaceDN w:val="0"/>
        <w:adjustRightInd w:val="0"/>
        <w:jc w:val="both"/>
        <w:rPr>
          <w:lang w:val="ro-RO"/>
        </w:rPr>
      </w:pPr>
    </w:p>
    <w:p w14:paraId="64176A1B" w14:textId="735BB079" w:rsidR="00D9411A" w:rsidRPr="00555FDF" w:rsidRDefault="0045406C" w:rsidP="00421C9F">
      <w:pPr>
        <w:pStyle w:val="NormalWeb"/>
        <w:spacing w:before="0" w:beforeAutospacing="0" w:after="0" w:afterAutospacing="0"/>
        <w:jc w:val="both"/>
        <w:rPr>
          <w:lang w:val="ro-RO" w:eastAsia="en-US"/>
        </w:rPr>
      </w:pPr>
      <w:r w:rsidRPr="00555FDF">
        <w:rPr>
          <w:lang w:val="ro-RO"/>
        </w:rPr>
        <w:t xml:space="preserve">În temeiul </w:t>
      </w:r>
      <w:r w:rsidR="005074E0" w:rsidRPr="00555FDF">
        <w:rPr>
          <w:lang w:val="ro-RO"/>
        </w:rPr>
        <w:t xml:space="preserve">art.5 alin.(1) </w:t>
      </w:r>
      <w:proofErr w:type="spellStart"/>
      <w:r w:rsidR="005074E0" w:rsidRPr="00555FDF">
        <w:rPr>
          <w:lang w:val="ro-RO"/>
        </w:rPr>
        <w:t>lit.</w:t>
      </w:r>
      <w:r w:rsidR="00FA1272" w:rsidRPr="00555FDF">
        <w:rPr>
          <w:lang w:val="ro-RO"/>
        </w:rPr>
        <w:t>d</w:t>
      </w:r>
      <w:proofErr w:type="spellEnd"/>
      <w:r w:rsidR="00FA1272" w:rsidRPr="00555FDF">
        <w:rPr>
          <w:lang w:val="ro-RO"/>
        </w:rPr>
        <w:t xml:space="preserve">) și </w:t>
      </w:r>
      <w:r w:rsidR="005074E0" w:rsidRPr="00555FDF">
        <w:rPr>
          <w:lang w:val="ro-RO"/>
        </w:rPr>
        <w:t>m)</w:t>
      </w:r>
      <w:r w:rsidR="00FE6148" w:rsidRPr="00555FDF">
        <w:rPr>
          <w:lang w:val="ro-RO"/>
        </w:rPr>
        <w:t>,</w:t>
      </w:r>
      <w:r w:rsidR="005074E0" w:rsidRPr="00555FDF">
        <w:rPr>
          <w:lang w:val="ro-RO"/>
        </w:rPr>
        <w:t xml:space="preserve"> </w:t>
      </w:r>
      <w:r w:rsidR="009A7890" w:rsidRPr="00555FDF">
        <w:rPr>
          <w:lang w:val="ro-RO"/>
        </w:rPr>
        <w:t xml:space="preserve">art.11 alin.(1), </w:t>
      </w:r>
      <w:r w:rsidR="00210EFA" w:rsidRPr="00555FDF">
        <w:rPr>
          <w:lang w:val="ro-RO"/>
        </w:rPr>
        <w:t xml:space="preserve">art.27 alin.(1) </w:t>
      </w:r>
      <w:proofErr w:type="spellStart"/>
      <w:r w:rsidR="00210EFA" w:rsidRPr="00555FDF">
        <w:rPr>
          <w:lang w:val="ro-RO"/>
        </w:rPr>
        <w:t>lit.c</w:t>
      </w:r>
      <w:proofErr w:type="spellEnd"/>
      <w:r w:rsidR="005074E0" w:rsidRPr="00555FDF">
        <w:rPr>
          <w:lang w:val="ro-RO"/>
        </w:rPr>
        <w:t>)</w:t>
      </w:r>
      <w:r w:rsidR="00524CD4">
        <w:rPr>
          <w:lang w:val="ro-RO"/>
        </w:rPr>
        <w:t xml:space="preserve"> și</w:t>
      </w:r>
      <w:r w:rsidR="005074E0" w:rsidRPr="00555FDF">
        <w:rPr>
          <w:lang w:val="ro-RO"/>
        </w:rPr>
        <w:t xml:space="preserve"> art. 44 </w:t>
      </w:r>
      <w:proofErr w:type="spellStart"/>
      <w:r w:rsidR="005074E0" w:rsidRPr="00555FDF">
        <w:rPr>
          <w:lang w:val="ro-RO"/>
        </w:rPr>
        <w:t>lit</w:t>
      </w:r>
      <w:r w:rsidR="008900DE" w:rsidRPr="00555FDF">
        <w:rPr>
          <w:lang w:val="ro-RO"/>
        </w:rPr>
        <w:t>.</w:t>
      </w:r>
      <w:r w:rsidR="005074E0" w:rsidRPr="00555FDF">
        <w:rPr>
          <w:lang w:val="ro-RO"/>
        </w:rPr>
        <w:t>a</w:t>
      </w:r>
      <w:proofErr w:type="spellEnd"/>
      <w:r w:rsidR="005074E0" w:rsidRPr="00555FDF">
        <w:rPr>
          <w:lang w:val="ro-RO"/>
        </w:rPr>
        <w:t xml:space="preserve">) </w:t>
      </w:r>
      <w:r w:rsidRPr="00555FDF">
        <w:rPr>
          <w:lang w:val="ro-RO"/>
        </w:rPr>
        <w:t>din Legea nr.548/1995 cu privire la Banca Națională a Moldovei</w:t>
      </w:r>
      <w:r w:rsidR="00021382" w:rsidRPr="00555FDF">
        <w:rPr>
          <w:lang w:val="ro-RO"/>
        </w:rPr>
        <w:t xml:space="preserve"> (republicată în Monitorul Oficial al Republicii Moldova, 2015, nr.297-300, art.544)</w:t>
      </w:r>
      <w:r w:rsidRPr="00555FDF">
        <w:rPr>
          <w:lang w:val="ro-RO"/>
        </w:rPr>
        <w:t xml:space="preserve">, </w:t>
      </w:r>
      <w:r w:rsidR="00D9411A" w:rsidRPr="00555FDF">
        <w:rPr>
          <w:lang w:val="ro-RO" w:eastAsia="en-US"/>
        </w:rPr>
        <w:t xml:space="preserve">cu modificările ulterioare </w:t>
      </w:r>
      <w:r w:rsidR="00FA1272" w:rsidRPr="00555FDF">
        <w:rPr>
          <w:lang w:val="ro-RO" w:eastAsia="en-US"/>
        </w:rPr>
        <w:t>și</w:t>
      </w:r>
      <w:r w:rsidR="00D9411A" w:rsidRPr="00555FDF">
        <w:rPr>
          <w:lang w:val="ro-RO" w:eastAsia="en-US"/>
        </w:rPr>
        <w:t xml:space="preserve"> art.15 alin.(1) </w:t>
      </w:r>
      <w:proofErr w:type="spellStart"/>
      <w:r w:rsidR="00D9411A" w:rsidRPr="00555FDF">
        <w:rPr>
          <w:lang w:val="ro-RO" w:eastAsia="en-US"/>
        </w:rPr>
        <w:t>lit.a</w:t>
      </w:r>
      <w:proofErr w:type="spellEnd"/>
      <w:r w:rsidR="00D9411A" w:rsidRPr="00555FDF">
        <w:rPr>
          <w:lang w:val="ro-RO" w:eastAsia="en-US"/>
        </w:rPr>
        <w:t xml:space="preserve">) </w:t>
      </w:r>
      <w:r w:rsidR="00FA1272" w:rsidRPr="00555FDF">
        <w:rPr>
          <w:lang w:val="ro-RO" w:eastAsia="en-US"/>
        </w:rPr>
        <w:t>și</w:t>
      </w:r>
      <w:r w:rsidR="00D9411A" w:rsidRPr="00555FDF">
        <w:rPr>
          <w:lang w:val="ro-RO" w:eastAsia="en-US"/>
        </w:rPr>
        <w:t xml:space="preserve"> alin.(2) </w:t>
      </w:r>
      <w:proofErr w:type="spellStart"/>
      <w:r w:rsidR="00D9411A" w:rsidRPr="00555FDF">
        <w:rPr>
          <w:lang w:val="ro-RO" w:eastAsia="en-US"/>
        </w:rPr>
        <w:t>lit.a</w:t>
      </w:r>
      <w:proofErr w:type="spellEnd"/>
      <w:r w:rsidR="00D9411A" w:rsidRPr="00555FDF">
        <w:rPr>
          <w:lang w:val="ro-RO" w:eastAsia="en-US"/>
        </w:rPr>
        <w:t xml:space="preserve">) din Legea nr.308/2017 cu privire la prevenirea </w:t>
      </w:r>
      <w:r w:rsidR="00FA1272" w:rsidRPr="00555FDF">
        <w:rPr>
          <w:lang w:val="ro-RO" w:eastAsia="en-US"/>
        </w:rPr>
        <w:t>și</w:t>
      </w:r>
      <w:r w:rsidR="00D9411A" w:rsidRPr="00555FDF">
        <w:rPr>
          <w:lang w:val="ro-RO" w:eastAsia="en-US"/>
        </w:rPr>
        <w:t xml:space="preserve"> combaterea spălării banilor </w:t>
      </w:r>
      <w:r w:rsidR="00FA1272" w:rsidRPr="00555FDF">
        <w:rPr>
          <w:lang w:val="ro-RO" w:eastAsia="en-US"/>
        </w:rPr>
        <w:t>și</w:t>
      </w:r>
      <w:r w:rsidR="00D9411A" w:rsidRPr="00555FDF">
        <w:rPr>
          <w:lang w:val="ro-RO" w:eastAsia="en-US"/>
        </w:rPr>
        <w:t xml:space="preserve"> </w:t>
      </w:r>
      <w:r w:rsidR="00FA1272" w:rsidRPr="00555FDF">
        <w:rPr>
          <w:lang w:val="ro-RO" w:eastAsia="en-US"/>
        </w:rPr>
        <w:t>finanțării</w:t>
      </w:r>
      <w:r w:rsidR="00D9411A" w:rsidRPr="00555FDF">
        <w:rPr>
          <w:lang w:val="ro-RO" w:eastAsia="en-US"/>
        </w:rPr>
        <w:t xml:space="preserve"> terorismului (Monitorul Oficial al Republicii Moldova, 2018, nr.58-66, art.133), cu modificările ulterioare, Comitetul executiv al Băncii </w:t>
      </w:r>
      <w:r w:rsidR="00B37621" w:rsidRPr="00555FDF">
        <w:rPr>
          <w:lang w:val="ro-RO" w:eastAsia="en-US"/>
        </w:rPr>
        <w:t>Naționale</w:t>
      </w:r>
      <w:r w:rsidR="00D9411A" w:rsidRPr="00555FDF">
        <w:rPr>
          <w:lang w:val="ro-RO" w:eastAsia="en-US"/>
        </w:rPr>
        <w:t xml:space="preserve"> a Moldovei</w:t>
      </w:r>
    </w:p>
    <w:p w14:paraId="2BFECA5A" w14:textId="38FDE3F4" w:rsidR="00FA1272" w:rsidRPr="00555FDF" w:rsidRDefault="00FA1272" w:rsidP="00FA1272">
      <w:pPr>
        <w:autoSpaceDE w:val="0"/>
        <w:autoSpaceDN w:val="0"/>
        <w:adjustRightInd w:val="0"/>
        <w:spacing w:line="276" w:lineRule="auto"/>
        <w:jc w:val="both"/>
        <w:rPr>
          <w:rFonts w:ascii="Arial" w:hAnsi="Arial" w:cs="Arial"/>
          <w:sz w:val="19"/>
          <w:szCs w:val="19"/>
          <w:lang w:val="ro-RO"/>
        </w:rPr>
      </w:pPr>
    </w:p>
    <w:p w14:paraId="581A482D" w14:textId="77777777" w:rsidR="0045406C" w:rsidRPr="00555FDF" w:rsidRDefault="0045406C" w:rsidP="004428C1">
      <w:pPr>
        <w:autoSpaceDE w:val="0"/>
        <w:autoSpaceDN w:val="0"/>
        <w:adjustRightInd w:val="0"/>
        <w:jc w:val="both"/>
        <w:rPr>
          <w:lang w:val="ro-RO"/>
        </w:rPr>
      </w:pPr>
    </w:p>
    <w:p w14:paraId="034FCD01" w14:textId="77777777" w:rsidR="0045406C" w:rsidRDefault="0045406C" w:rsidP="004428C1">
      <w:pPr>
        <w:autoSpaceDE w:val="0"/>
        <w:autoSpaceDN w:val="0"/>
        <w:adjustRightInd w:val="0"/>
        <w:jc w:val="center"/>
        <w:rPr>
          <w:b/>
          <w:bCs/>
          <w:lang w:val="ro-RO"/>
        </w:rPr>
      </w:pPr>
      <w:r w:rsidRPr="00555FDF">
        <w:rPr>
          <w:b/>
          <w:bCs/>
          <w:lang w:val="ro-RO"/>
        </w:rPr>
        <w:t>HOTĂRĂŞTE:</w:t>
      </w:r>
    </w:p>
    <w:p w14:paraId="1B7B5D59" w14:textId="77777777" w:rsidR="00180FBA" w:rsidRPr="00555FDF" w:rsidRDefault="00180FBA" w:rsidP="004428C1">
      <w:pPr>
        <w:autoSpaceDE w:val="0"/>
        <w:autoSpaceDN w:val="0"/>
        <w:adjustRightInd w:val="0"/>
        <w:jc w:val="center"/>
        <w:rPr>
          <w:b/>
          <w:bCs/>
          <w:lang w:val="ro-RO"/>
        </w:rPr>
      </w:pPr>
    </w:p>
    <w:p w14:paraId="4D2E9DDE" w14:textId="3BED80C4" w:rsidR="00F4047A" w:rsidRDefault="00B464FA" w:rsidP="00180FBA">
      <w:pPr>
        <w:pStyle w:val="NormalWeb"/>
        <w:numPr>
          <w:ilvl w:val="0"/>
          <w:numId w:val="42"/>
        </w:numPr>
        <w:spacing w:before="0" w:beforeAutospacing="0" w:after="0" w:afterAutospacing="0"/>
        <w:ind w:left="0" w:firstLine="567"/>
        <w:jc w:val="both"/>
        <w:rPr>
          <w:bCs/>
          <w:lang w:val="ro-RO" w:eastAsia="en-US"/>
        </w:rPr>
      </w:pPr>
      <w:r w:rsidRPr="00555FDF">
        <w:rPr>
          <w:bCs/>
          <w:lang w:val="ro-RO"/>
        </w:rPr>
        <w:t>Regulamentul cu privire la cerințele privind prevenirea și combaterea spălării banilor și finanțării terorismului în activitatea băncilor, aprobat prin Hotărârea Comitetului executiv al Băncii Naționale a Moldovei nr.200/2018</w:t>
      </w:r>
      <w:r w:rsidR="00F867A6" w:rsidRPr="00555FDF">
        <w:rPr>
          <w:bCs/>
          <w:lang w:val="ro-RO"/>
        </w:rPr>
        <w:t xml:space="preserve"> </w:t>
      </w:r>
      <w:bookmarkStart w:id="1" w:name="_Hlk147742042"/>
      <w:r w:rsidR="008900DE" w:rsidRPr="00555FDF">
        <w:rPr>
          <w:bCs/>
          <w:lang w:val="ro-RO" w:eastAsia="en-US"/>
        </w:rPr>
        <w:t>(Monitorul Oficial al Republicii Moldova, 2018, nr.321-332, art.1311), cu modificările ulterioare, înregistrat la Ministerul Justiției al Republicii Moldova cu nr.1354 din 21.08.2018, se modifică după cum urmează:</w:t>
      </w:r>
      <w:bookmarkEnd w:id="1"/>
    </w:p>
    <w:p w14:paraId="27E89C67" w14:textId="77777777" w:rsidR="00180FBA" w:rsidRPr="00555FDF" w:rsidRDefault="00180FBA" w:rsidP="00180FBA">
      <w:pPr>
        <w:pStyle w:val="NormalWeb"/>
        <w:spacing w:before="0" w:beforeAutospacing="0" w:after="0" w:afterAutospacing="0"/>
        <w:jc w:val="both"/>
        <w:rPr>
          <w:bCs/>
          <w:lang w:val="ro-RO" w:eastAsia="en-US"/>
        </w:rPr>
      </w:pPr>
    </w:p>
    <w:p w14:paraId="2006AD6D" w14:textId="0AC0A839" w:rsidR="004428C1" w:rsidRDefault="00166D18" w:rsidP="00180FBA">
      <w:pPr>
        <w:pStyle w:val="ListParagraph"/>
        <w:numPr>
          <w:ilvl w:val="0"/>
          <w:numId w:val="2"/>
        </w:numPr>
        <w:autoSpaceDE w:val="0"/>
        <w:autoSpaceDN w:val="0"/>
        <w:adjustRightInd w:val="0"/>
        <w:ind w:left="0" w:firstLine="284"/>
        <w:contextualSpacing w:val="0"/>
        <w:jc w:val="both"/>
        <w:rPr>
          <w:lang w:val="ro-RO"/>
        </w:rPr>
      </w:pPr>
      <w:r w:rsidRPr="00555FDF">
        <w:rPr>
          <w:lang w:val="ro-RO"/>
        </w:rPr>
        <w:t>La pct.</w:t>
      </w:r>
      <w:r w:rsidR="00256F99">
        <w:rPr>
          <w:lang w:val="ro-RO"/>
        </w:rPr>
        <w:t>3</w:t>
      </w:r>
      <w:r w:rsidRPr="00555FDF">
        <w:rPr>
          <w:lang w:val="ro-RO"/>
        </w:rPr>
        <w:t xml:space="preserve"> </w:t>
      </w:r>
      <w:r w:rsidR="00256F99">
        <w:rPr>
          <w:lang w:val="ro-RO"/>
        </w:rPr>
        <w:t>textul</w:t>
      </w:r>
      <w:r w:rsidR="008F0F82" w:rsidRPr="00555FDF">
        <w:rPr>
          <w:lang w:val="ro-RO"/>
        </w:rPr>
        <w:t xml:space="preserve"> </w:t>
      </w:r>
      <w:r w:rsidR="00356C1A">
        <w:rPr>
          <w:lang w:val="ro-RO"/>
        </w:rPr>
        <w:t>„</w:t>
      </w:r>
      <w:r w:rsidR="00256F99" w:rsidRPr="00256F99">
        <w:rPr>
          <w:i/>
          <w:iCs/>
          <w:lang w:val="ro-RO"/>
        </w:rPr>
        <w:t xml:space="preserve">identificatorul unic al companiei (legal </w:t>
      </w:r>
      <w:proofErr w:type="spellStart"/>
      <w:r w:rsidR="00256F99" w:rsidRPr="00256F99">
        <w:rPr>
          <w:i/>
          <w:iCs/>
          <w:lang w:val="ro-RO"/>
        </w:rPr>
        <w:t>entity</w:t>
      </w:r>
      <w:proofErr w:type="spellEnd"/>
      <w:r w:rsidR="00256F99" w:rsidRPr="00256F99">
        <w:rPr>
          <w:i/>
          <w:iCs/>
          <w:lang w:val="ro-RO"/>
        </w:rPr>
        <w:t xml:space="preserve"> </w:t>
      </w:r>
      <w:proofErr w:type="spellStart"/>
      <w:r w:rsidR="00256F99" w:rsidRPr="00256F99">
        <w:rPr>
          <w:i/>
          <w:iCs/>
          <w:lang w:val="ro-RO"/>
        </w:rPr>
        <w:t>identifier</w:t>
      </w:r>
      <w:proofErr w:type="spellEnd"/>
      <w:r w:rsidR="00256F99" w:rsidRPr="00256F99">
        <w:rPr>
          <w:i/>
          <w:iCs/>
          <w:lang w:val="ro-RO"/>
        </w:rPr>
        <w:t>)</w:t>
      </w:r>
      <w:r w:rsidR="00256F99">
        <w:rPr>
          <w:lang w:val="ro-RO"/>
        </w:rPr>
        <w:t xml:space="preserve"> - </w:t>
      </w:r>
      <w:r w:rsidR="00256F99" w:rsidRPr="00256F99">
        <w:rPr>
          <w:lang w:val="ro-RO"/>
        </w:rPr>
        <w:t>un cod alfanumeric, alcătuit din 20 caractere, care identifică în mod unic o persoană juridică, stabilit în conformitate cu standardul ISO 17442;</w:t>
      </w:r>
      <w:r w:rsidR="008F0F82" w:rsidRPr="00555FDF">
        <w:rPr>
          <w:lang w:val="ro-RO"/>
        </w:rPr>
        <w:t xml:space="preserve">” se </w:t>
      </w:r>
      <w:r w:rsidR="00256F99">
        <w:rPr>
          <w:lang w:val="ro-RO"/>
        </w:rPr>
        <w:t>substituie cu textul „</w:t>
      </w:r>
      <w:r w:rsidR="00256F99" w:rsidRPr="00256F99">
        <w:rPr>
          <w:i/>
          <w:iCs/>
          <w:lang w:val="ro-RO"/>
        </w:rPr>
        <w:t>identificatorul entității juridice (LEI)</w:t>
      </w:r>
      <w:r w:rsidR="00256F99" w:rsidRPr="00256F99">
        <w:rPr>
          <w:lang w:val="ro-RO"/>
        </w:rPr>
        <w:t xml:space="preserve"> – un cod de referință alfanumeric unic de 20 de caractere, bazat pe standardul ISO 17442, atribuit unei entități juridice;</w:t>
      </w:r>
      <w:r w:rsidR="00256F99">
        <w:rPr>
          <w:lang w:val="ro-RO"/>
        </w:rPr>
        <w:t>”</w:t>
      </w:r>
      <w:r w:rsidR="008F0F82" w:rsidRPr="00555FDF">
        <w:rPr>
          <w:lang w:val="ro-RO"/>
        </w:rPr>
        <w:t xml:space="preserve">. </w:t>
      </w:r>
    </w:p>
    <w:p w14:paraId="74AEBFBE" w14:textId="77777777" w:rsidR="00180FBA" w:rsidRPr="00555FDF" w:rsidRDefault="00180FBA" w:rsidP="00180FBA">
      <w:pPr>
        <w:pStyle w:val="ListParagraph"/>
        <w:autoSpaceDE w:val="0"/>
        <w:autoSpaceDN w:val="0"/>
        <w:adjustRightInd w:val="0"/>
        <w:ind w:left="284"/>
        <w:contextualSpacing w:val="0"/>
        <w:jc w:val="both"/>
        <w:rPr>
          <w:lang w:val="ro-RO"/>
        </w:rPr>
      </w:pPr>
    </w:p>
    <w:p w14:paraId="79A5DA47" w14:textId="3BA9A5AE" w:rsidR="00AB7DF8" w:rsidRDefault="00770D5F" w:rsidP="004428C1">
      <w:pPr>
        <w:pStyle w:val="ListParagraph"/>
        <w:numPr>
          <w:ilvl w:val="0"/>
          <w:numId w:val="2"/>
        </w:numPr>
        <w:autoSpaceDE w:val="0"/>
        <w:autoSpaceDN w:val="0"/>
        <w:adjustRightInd w:val="0"/>
        <w:contextualSpacing w:val="0"/>
        <w:jc w:val="both"/>
        <w:rPr>
          <w:lang w:val="ro-RO"/>
        </w:rPr>
      </w:pPr>
      <w:bookmarkStart w:id="2" w:name="_Hlk186188848"/>
      <w:r w:rsidRPr="00555FDF">
        <w:rPr>
          <w:lang w:val="ro-RO"/>
        </w:rPr>
        <w:t>P</w:t>
      </w:r>
      <w:r w:rsidR="00AB7DF8" w:rsidRPr="00555FDF">
        <w:rPr>
          <w:lang w:val="ro-RO"/>
        </w:rPr>
        <w:t>ct.</w:t>
      </w:r>
      <w:r w:rsidR="00256F99">
        <w:rPr>
          <w:lang w:val="ro-RO"/>
        </w:rPr>
        <w:t>64 și pct.65 vor avea următorul cuprins:</w:t>
      </w:r>
    </w:p>
    <w:p w14:paraId="7C0EC4B2" w14:textId="11D885C7" w:rsidR="00256F99" w:rsidRPr="006B39AA" w:rsidRDefault="00256F99" w:rsidP="00180FBA">
      <w:pPr>
        <w:widowControl w:val="0"/>
        <w:spacing w:after="180"/>
        <w:jc w:val="both"/>
        <w:rPr>
          <w:lang w:val="ro-RO" w:eastAsia="ro-MD"/>
        </w:rPr>
      </w:pPr>
      <w:bookmarkStart w:id="3" w:name="_Hlk184906143"/>
      <w:bookmarkStart w:id="4" w:name="_Hlk184906185"/>
      <w:bookmarkEnd w:id="2"/>
      <w:r>
        <w:rPr>
          <w:b/>
          <w:bCs/>
          <w:lang w:val="ro-RO" w:eastAsia="ro-MD"/>
        </w:rPr>
        <w:t>„</w:t>
      </w:r>
      <w:r w:rsidRPr="006B39AA">
        <w:rPr>
          <w:b/>
          <w:bCs/>
          <w:lang w:val="ro-RO" w:eastAsia="ro-MD"/>
        </w:rPr>
        <w:t>64.</w:t>
      </w:r>
      <w:r w:rsidRPr="006B39AA">
        <w:rPr>
          <w:lang w:val="ro-RO" w:eastAsia="ro-MD"/>
        </w:rPr>
        <w:t xml:space="preserve"> Prezentul capitol nu se aplică transferurilor de fonduri efectuate prin utilizarea unui card de plată, a unui instrument de monedă electronică, a unui telefon mobil sau orice alt dispozitiv digital sau informatic preplătit sau de tip </w:t>
      </w:r>
      <w:proofErr w:type="spellStart"/>
      <w:r w:rsidRPr="006B39AA">
        <w:rPr>
          <w:lang w:val="ro-RO" w:eastAsia="ro-MD"/>
        </w:rPr>
        <w:t>postpaid</w:t>
      </w:r>
      <w:proofErr w:type="spellEnd"/>
      <w:r w:rsidRPr="006B39AA">
        <w:rPr>
          <w:lang w:val="ro-RO" w:eastAsia="ro-MD"/>
        </w:rPr>
        <w:t xml:space="preserve">, cu caracteristici similare, în cazul în care sunt îndeplinite următoarele </w:t>
      </w:r>
      <w:proofErr w:type="spellStart"/>
      <w:r w:rsidRPr="006B39AA">
        <w:rPr>
          <w:lang w:val="ro-RO" w:eastAsia="ro-MD"/>
        </w:rPr>
        <w:t>condiţii</w:t>
      </w:r>
      <w:proofErr w:type="spellEnd"/>
      <w:r w:rsidRPr="006B39AA">
        <w:rPr>
          <w:lang w:val="ro-RO" w:eastAsia="ro-MD"/>
        </w:rPr>
        <w:t>:</w:t>
      </w:r>
    </w:p>
    <w:bookmarkEnd w:id="3"/>
    <w:p w14:paraId="5D9CDBB2" w14:textId="77777777" w:rsidR="00256F99" w:rsidRPr="006B39AA" w:rsidRDefault="00256F99" w:rsidP="00256F99">
      <w:pPr>
        <w:widowControl w:val="0"/>
        <w:jc w:val="both"/>
        <w:rPr>
          <w:lang w:val="ro-RO" w:eastAsia="ro-MD"/>
        </w:rPr>
      </w:pPr>
      <w:r w:rsidRPr="006B39AA">
        <w:rPr>
          <w:lang w:val="ro-RO" w:eastAsia="ro-MD"/>
        </w:rPr>
        <w:lastRenderedPageBreak/>
        <w:t>1) cardul, instrumentul sau dispozitivul respectiv este utilizat exclusiv pentru a plăti bunuri sau servicii; și</w:t>
      </w:r>
    </w:p>
    <w:p w14:paraId="65A51F64" w14:textId="77777777" w:rsidR="00256F99" w:rsidRPr="006B39AA" w:rsidRDefault="00256F99" w:rsidP="00256F99">
      <w:pPr>
        <w:widowControl w:val="0"/>
        <w:jc w:val="both"/>
        <w:rPr>
          <w:lang w:val="ro-RO" w:eastAsia="ro-MD"/>
        </w:rPr>
      </w:pPr>
      <w:r w:rsidRPr="006B39AA">
        <w:rPr>
          <w:lang w:val="ro-RO" w:eastAsia="ro-MD"/>
        </w:rPr>
        <w:t xml:space="preserve">2) numărul cardului, instrumentului sau dispozitivului respectiv </w:t>
      </w:r>
      <w:proofErr w:type="spellStart"/>
      <w:r w:rsidRPr="006B39AA">
        <w:rPr>
          <w:lang w:val="ro-RO" w:eastAsia="ro-MD"/>
        </w:rPr>
        <w:t>însoţeşte</w:t>
      </w:r>
      <w:proofErr w:type="spellEnd"/>
      <w:r w:rsidRPr="006B39AA">
        <w:rPr>
          <w:lang w:val="ro-RO" w:eastAsia="ro-MD"/>
        </w:rPr>
        <w:t xml:space="preserve"> toate transferurile care decurg din </w:t>
      </w:r>
      <w:proofErr w:type="spellStart"/>
      <w:r w:rsidRPr="006B39AA">
        <w:rPr>
          <w:lang w:val="ro-RO" w:eastAsia="ro-MD"/>
        </w:rPr>
        <w:t>tranzacţie</w:t>
      </w:r>
      <w:proofErr w:type="spellEnd"/>
      <w:r w:rsidRPr="006B39AA">
        <w:rPr>
          <w:lang w:val="ro-RO" w:eastAsia="ro-MD"/>
        </w:rPr>
        <w:t>.</w:t>
      </w:r>
    </w:p>
    <w:p w14:paraId="0AB23678" w14:textId="77777777" w:rsidR="00256F99" w:rsidRPr="006B39AA" w:rsidRDefault="00256F99" w:rsidP="00256F99">
      <w:pPr>
        <w:widowControl w:val="0"/>
        <w:spacing w:after="180"/>
        <w:jc w:val="both"/>
        <w:rPr>
          <w:lang w:val="ro-RO" w:eastAsia="ro-MD"/>
        </w:rPr>
      </w:pPr>
      <w:r w:rsidRPr="006B39AA">
        <w:rPr>
          <w:lang w:val="ro-RO" w:eastAsia="ro-MD"/>
        </w:rPr>
        <w:t xml:space="preserve">Cu toate acestea, prezentul capitol se aplică atunci când un card de plată, un instrument de monedă electronică, un telefon mobil sau orice alt dispozitiv digital sau informatic preplătit sau de tip </w:t>
      </w:r>
      <w:proofErr w:type="spellStart"/>
      <w:r w:rsidRPr="006B39AA">
        <w:rPr>
          <w:lang w:val="ro-RO" w:eastAsia="ro-MD"/>
        </w:rPr>
        <w:t>postpaid</w:t>
      </w:r>
      <w:proofErr w:type="spellEnd"/>
      <w:r w:rsidRPr="006B39AA">
        <w:rPr>
          <w:lang w:val="ro-RO" w:eastAsia="ro-MD"/>
        </w:rPr>
        <w:t>, cu caracteristici similare, este folosit pentru a efectua un transfer de fonduri între persoane fizice care, în calitate de consumatori, acționează în alte scopuri decât activitatea lor comercială, de afaceri sau profesională.</w:t>
      </w:r>
    </w:p>
    <w:p w14:paraId="71E045B9" w14:textId="18D09825" w:rsidR="00256F99" w:rsidRPr="006B39AA" w:rsidRDefault="00256F99" w:rsidP="00256F99">
      <w:pPr>
        <w:widowControl w:val="0"/>
        <w:jc w:val="both"/>
        <w:rPr>
          <w:lang w:val="ro-RO" w:eastAsia="ro-MD"/>
        </w:rPr>
      </w:pPr>
      <w:bookmarkStart w:id="5" w:name="_Hlk184907139"/>
      <w:bookmarkEnd w:id="4"/>
      <w:r w:rsidRPr="006B39AA">
        <w:rPr>
          <w:b/>
          <w:bCs/>
          <w:lang w:val="ro-RO" w:eastAsia="ro-MD"/>
        </w:rPr>
        <w:t>65.</w:t>
      </w:r>
      <w:r w:rsidRPr="006B39AA">
        <w:rPr>
          <w:lang w:val="ro-RO" w:eastAsia="ro-MD"/>
        </w:rPr>
        <w:t xml:space="preserve"> Prezentul capitol nu se aplică unui transfer de fonduri atunci când acesta:</w:t>
      </w:r>
    </w:p>
    <w:p w14:paraId="43DFC9E3" w14:textId="77777777" w:rsidR="00256F99" w:rsidRPr="006B39AA" w:rsidRDefault="00256F99" w:rsidP="00256F99">
      <w:pPr>
        <w:widowControl w:val="0"/>
        <w:jc w:val="both"/>
        <w:rPr>
          <w:lang w:val="ro-RO" w:eastAsia="ro-MD"/>
        </w:rPr>
      </w:pPr>
      <w:r w:rsidRPr="006B39AA">
        <w:rPr>
          <w:lang w:val="ro-RO" w:eastAsia="ro-MD"/>
        </w:rPr>
        <w:t xml:space="preserve">1) implică retragerea de numerar de către plătitor din contul de </w:t>
      </w:r>
      <w:proofErr w:type="spellStart"/>
      <w:r w:rsidRPr="006B39AA">
        <w:rPr>
          <w:lang w:val="ro-RO" w:eastAsia="ro-MD"/>
        </w:rPr>
        <w:t>plăţi</w:t>
      </w:r>
      <w:proofErr w:type="spellEnd"/>
      <w:r w:rsidRPr="006B39AA">
        <w:rPr>
          <w:lang w:val="ro-RO" w:eastAsia="ro-MD"/>
        </w:rPr>
        <w:t xml:space="preserve"> propriu;</w:t>
      </w:r>
    </w:p>
    <w:p w14:paraId="7B50D0B8" w14:textId="77777777" w:rsidR="00256F99" w:rsidRPr="006B39AA" w:rsidRDefault="00256F99" w:rsidP="00256F99">
      <w:pPr>
        <w:widowControl w:val="0"/>
        <w:jc w:val="both"/>
        <w:rPr>
          <w:lang w:val="ro-RO" w:eastAsia="ro-MD"/>
        </w:rPr>
      </w:pPr>
      <w:r w:rsidRPr="006B39AA">
        <w:rPr>
          <w:lang w:val="ro-RO" w:eastAsia="ro-MD"/>
        </w:rPr>
        <w:t>2) reprezintă un transfer de fonduri către o autoritate publică reprezentând plata impozitelor, a amenzilor sau a altor taxe;</w:t>
      </w:r>
    </w:p>
    <w:p w14:paraId="66641914" w14:textId="466F8DD5" w:rsidR="00256F99" w:rsidRPr="006B39AA" w:rsidRDefault="00256F99" w:rsidP="00256F99">
      <w:pPr>
        <w:widowControl w:val="0"/>
        <w:jc w:val="both"/>
        <w:rPr>
          <w:lang w:val="ro-RO" w:eastAsia="ro-MD"/>
        </w:rPr>
      </w:pPr>
      <w:r w:rsidRPr="006B39AA">
        <w:rPr>
          <w:lang w:val="ro-RO" w:eastAsia="ro-MD"/>
        </w:rPr>
        <w:t>3) este efectuat între pre</w:t>
      </w:r>
      <w:r w:rsidR="0095376D">
        <w:rPr>
          <w:lang w:val="ro-RO" w:eastAsia="ro-MD"/>
        </w:rPr>
        <w:t>s</w:t>
      </w:r>
      <w:r w:rsidRPr="006B39AA">
        <w:rPr>
          <w:lang w:val="ro-RO" w:eastAsia="ro-MD"/>
        </w:rPr>
        <w:t>tatori de servicii de plată, în calitate de plătitor și beneficiar al plății, care acționează în nume propriu;</w:t>
      </w:r>
    </w:p>
    <w:p w14:paraId="6EA9E9D1" w14:textId="2D857C74" w:rsidR="00256F99" w:rsidRPr="0095376D" w:rsidRDefault="00256F99" w:rsidP="0095376D">
      <w:pPr>
        <w:widowControl w:val="0"/>
        <w:spacing w:after="180"/>
        <w:jc w:val="both"/>
        <w:rPr>
          <w:lang w:val="ro-RO" w:eastAsia="ro-MD"/>
        </w:rPr>
      </w:pPr>
      <w:r w:rsidRPr="006B39AA">
        <w:rPr>
          <w:lang w:val="ro-RO" w:eastAsia="ro-MD"/>
        </w:rPr>
        <w:t>4) este efectuat prin schimburi de imagini ale cecurilor, inclusiv cecuri trunchiate.</w:t>
      </w:r>
      <w:r w:rsidR="0095376D">
        <w:rPr>
          <w:lang w:val="ro-RO" w:eastAsia="ro-MD"/>
        </w:rPr>
        <w:t>”</w:t>
      </w:r>
      <w:bookmarkEnd w:id="5"/>
    </w:p>
    <w:p w14:paraId="3B181625" w14:textId="2525742C" w:rsidR="00D9411A" w:rsidRPr="00180FBA" w:rsidRDefault="0095376D" w:rsidP="00180FBA">
      <w:pPr>
        <w:pStyle w:val="ListParagraph"/>
        <w:numPr>
          <w:ilvl w:val="0"/>
          <w:numId w:val="2"/>
        </w:numPr>
        <w:autoSpaceDE w:val="0"/>
        <w:autoSpaceDN w:val="0"/>
        <w:adjustRightInd w:val="0"/>
        <w:contextualSpacing w:val="0"/>
        <w:jc w:val="both"/>
        <w:rPr>
          <w:lang w:val="ro-RO"/>
        </w:rPr>
      </w:pPr>
      <w:bookmarkStart w:id="6" w:name="_Hlk186189297"/>
      <w:r>
        <w:rPr>
          <w:lang w:val="ro-RO"/>
        </w:rPr>
        <w:t>Se compl</w:t>
      </w:r>
      <w:r w:rsidRPr="00180FBA">
        <w:rPr>
          <w:lang w:val="ro-RO"/>
        </w:rPr>
        <w:t>etează cu punctul 65</w:t>
      </w:r>
      <w:r w:rsidRPr="00180FBA">
        <w:rPr>
          <w:vertAlign w:val="superscript"/>
          <w:lang w:val="ro-RO"/>
        </w:rPr>
        <w:t>1</w:t>
      </w:r>
      <w:r w:rsidRPr="00180FBA">
        <w:rPr>
          <w:lang w:val="ro-RO"/>
        </w:rPr>
        <w:t xml:space="preserve"> cu următorul cuprins:</w:t>
      </w:r>
    </w:p>
    <w:bookmarkEnd w:id="6"/>
    <w:p w14:paraId="0D40D7E8" w14:textId="77777777" w:rsidR="0095376D" w:rsidRPr="0095376D" w:rsidRDefault="0095376D" w:rsidP="0095376D">
      <w:pPr>
        <w:widowControl w:val="0"/>
        <w:jc w:val="both"/>
        <w:rPr>
          <w:lang w:val="ro-RO" w:eastAsia="ro-MD"/>
        </w:rPr>
      </w:pPr>
      <w:r>
        <w:rPr>
          <w:lang w:val="ro-RO"/>
        </w:rPr>
        <w:t>„</w:t>
      </w:r>
      <w:bookmarkStart w:id="7" w:name="_Hlk185928131"/>
      <w:r w:rsidRPr="0095376D">
        <w:rPr>
          <w:b/>
          <w:bCs/>
          <w:lang w:val="ro-RO" w:eastAsia="ro-MD"/>
        </w:rPr>
        <w:t>65</w:t>
      </w:r>
      <w:r w:rsidRPr="0095376D">
        <w:rPr>
          <w:b/>
          <w:bCs/>
          <w:vertAlign w:val="superscript"/>
          <w:lang w:val="ro-RO" w:eastAsia="ro-MD"/>
        </w:rPr>
        <w:t>1</w:t>
      </w:r>
      <w:r w:rsidRPr="0095376D">
        <w:rPr>
          <w:lang w:val="ro-RO" w:eastAsia="ro-MD"/>
        </w:rPr>
        <w:t>. Prezentul capitol nu se aplică:</w:t>
      </w:r>
    </w:p>
    <w:p w14:paraId="0BA79169" w14:textId="1D35992B" w:rsidR="0095376D" w:rsidRPr="0095376D" w:rsidRDefault="0095376D" w:rsidP="0095376D">
      <w:pPr>
        <w:widowControl w:val="0"/>
        <w:jc w:val="both"/>
        <w:rPr>
          <w:lang w:val="ro-RO" w:eastAsia="ro-MD"/>
        </w:rPr>
      </w:pPr>
      <w:r w:rsidRPr="0095376D">
        <w:rPr>
          <w:lang w:val="ro-RO" w:eastAsia="ro-MD"/>
        </w:rPr>
        <w:t>1) serviciilor enumerate la art</w:t>
      </w:r>
      <w:r>
        <w:rPr>
          <w:lang w:val="ro-RO" w:eastAsia="ro-MD"/>
        </w:rPr>
        <w:t>.</w:t>
      </w:r>
      <w:r w:rsidRPr="0095376D">
        <w:rPr>
          <w:lang w:val="ro-RO" w:eastAsia="ro-MD"/>
        </w:rPr>
        <w:t xml:space="preserve">2 alin. (2) </w:t>
      </w:r>
      <w:proofErr w:type="spellStart"/>
      <w:r w:rsidRPr="0095376D">
        <w:rPr>
          <w:lang w:val="ro-RO" w:eastAsia="ro-MD"/>
        </w:rPr>
        <w:t>subpct</w:t>
      </w:r>
      <w:proofErr w:type="spellEnd"/>
      <w:r w:rsidRPr="0095376D">
        <w:rPr>
          <w:lang w:val="ro-RO" w:eastAsia="ro-MD"/>
        </w:rPr>
        <w:t>. 1)–13) și 15) din Legea nr. 114/2012 cu privire la serviciile de plată și moneda electronică;</w:t>
      </w:r>
    </w:p>
    <w:p w14:paraId="1EAEFA42" w14:textId="2B87A9F9" w:rsidR="0095376D" w:rsidRDefault="0095376D" w:rsidP="0095376D">
      <w:pPr>
        <w:widowControl w:val="0"/>
        <w:jc w:val="both"/>
        <w:rPr>
          <w:lang w:val="ro-RO" w:eastAsia="ro-MD"/>
        </w:rPr>
      </w:pPr>
      <w:r w:rsidRPr="0095376D">
        <w:rPr>
          <w:lang w:val="ro-RO" w:eastAsia="ro-MD"/>
        </w:rPr>
        <w:t>2) prestatorilor de servicii tehnice care acționează în temeiul unui contract încheiat cu un prestator de servicii de plată și care nu au nici o activitate în afară de cea de a transforma documentele pe suport hârtie în date în format electronic, precum și cea de a furniza prestatorilor de servicii de plată sisteme de mesagerie ori alte sisteme de suport pentru transmiterea fondurilor sau sisteme de compensare și decontare.</w:t>
      </w:r>
      <w:r>
        <w:rPr>
          <w:lang w:val="ro-RO" w:eastAsia="ro-MD"/>
        </w:rPr>
        <w:t>”.</w:t>
      </w:r>
    </w:p>
    <w:p w14:paraId="57A2ED23" w14:textId="44859970" w:rsidR="0095376D" w:rsidRDefault="0095376D" w:rsidP="0095376D">
      <w:pPr>
        <w:widowControl w:val="0"/>
        <w:spacing w:before="240"/>
        <w:ind w:firstLine="284"/>
        <w:jc w:val="both"/>
        <w:rPr>
          <w:lang w:val="ro-RO" w:eastAsia="ro-MD"/>
        </w:rPr>
      </w:pPr>
      <w:r>
        <w:rPr>
          <w:lang w:val="ro-RO" w:eastAsia="ro-MD"/>
        </w:rPr>
        <w:t>4)</w:t>
      </w:r>
      <w:r w:rsidR="007E7E96">
        <w:rPr>
          <w:lang w:val="ro-RO" w:eastAsia="ro-MD"/>
        </w:rPr>
        <w:tab/>
      </w:r>
      <w:r w:rsidR="007E7E96" w:rsidRPr="007E7E96">
        <w:rPr>
          <w:lang w:val="ro-RO" w:eastAsia="ro-MD"/>
        </w:rPr>
        <w:t>Pct.</w:t>
      </w:r>
      <w:r w:rsidR="007E7E96">
        <w:rPr>
          <w:lang w:val="ro-RO" w:eastAsia="ro-MD"/>
        </w:rPr>
        <w:t>66</w:t>
      </w:r>
      <w:r w:rsidR="007E7E96" w:rsidRPr="007E7E96">
        <w:rPr>
          <w:lang w:val="ro-RO" w:eastAsia="ro-MD"/>
        </w:rPr>
        <w:t xml:space="preserve"> și pct.</w:t>
      </w:r>
      <w:r w:rsidR="007E7E96">
        <w:rPr>
          <w:lang w:val="ro-RO" w:eastAsia="ro-MD"/>
        </w:rPr>
        <w:t>67</w:t>
      </w:r>
      <w:r w:rsidR="007E7E96" w:rsidRPr="007E7E96">
        <w:rPr>
          <w:lang w:val="ro-RO" w:eastAsia="ro-MD"/>
        </w:rPr>
        <w:t xml:space="preserve"> vor avea următorul cuprins:</w:t>
      </w:r>
    </w:p>
    <w:p w14:paraId="3BF4A765" w14:textId="663CF130" w:rsidR="007E7E96" w:rsidRPr="007E7E96" w:rsidRDefault="007E7E96" w:rsidP="007E7E96">
      <w:pPr>
        <w:widowControl w:val="0"/>
        <w:spacing w:after="180"/>
        <w:jc w:val="both"/>
        <w:rPr>
          <w:lang w:val="ro-RO" w:eastAsia="ro-MD"/>
        </w:rPr>
      </w:pPr>
      <w:bookmarkStart w:id="8" w:name="_Hlk185928472"/>
      <w:bookmarkStart w:id="9" w:name="_Hlk184807610"/>
      <w:r>
        <w:rPr>
          <w:b/>
          <w:bCs/>
          <w:lang w:val="ro-RO" w:eastAsia="ro-MD"/>
        </w:rPr>
        <w:t>„</w:t>
      </w:r>
      <w:r w:rsidRPr="007E7E96">
        <w:rPr>
          <w:b/>
          <w:bCs/>
          <w:lang w:val="ro-RO" w:eastAsia="ro-MD"/>
        </w:rPr>
        <w:t>66.</w:t>
      </w:r>
      <w:r w:rsidRPr="007E7E96">
        <w:rPr>
          <w:lang w:val="ro-RO" w:eastAsia="ro-MD"/>
        </w:rPr>
        <w:t xml:space="preserve"> Banca asigură că transferurile de fonduri sunt </w:t>
      </w:r>
      <w:proofErr w:type="spellStart"/>
      <w:r w:rsidRPr="007E7E96">
        <w:rPr>
          <w:lang w:val="ro-RO" w:eastAsia="ro-MD"/>
        </w:rPr>
        <w:t>însoţite</w:t>
      </w:r>
      <w:proofErr w:type="spellEnd"/>
      <w:r w:rsidRPr="007E7E96">
        <w:rPr>
          <w:lang w:val="ro-RO" w:eastAsia="ro-MD"/>
        </w:rPr>
        <w:t xml:space="preserve"> de următoarele </w:t>
      </w:r>
      <w:proofErr w:type="spellStart"/>
      <w:r w:rsidRPr="007E7E96">
        <w:rPr>
          <w:lang w:val="ro-RO" w:eastAsia="ro-MD"/>
        </w:rPr>
        <w:t>informaţii</w:t>
      </w:r>
      <w:proofErr w:type="spellEnd"/>
      <w:r w:rsidRPr="007E7E96">
        <w:rPr>
          <w:lang w:val="ro-RO" w:eastAsia="ro-MD"/>
        </w:rPr>
        <w:t xml:space="preserve"> cu privire la plătitor:</w:t>
      </w:r>
    </w:p>
    <w:p w14:paraId="33C6AE46" w14:textId="77777777" w:rsidR="007E7E96" w:rsidRPr="007E7E96" w:rsidRDefault="007E7E96" w:rsidP="007E7E96">
      <w:pPr>
        <w:widowControl w:val="0"/>
        <w:jc w:val="both"/>
        <w:rPr>
          <w:lang w:val="ro-RO" w:eastAsia="ro-MD"/>
        </w:rPr>
      </w:pPr>
      <w:r w:rsidRPr="007E7E96">
        <w:rPr>
          <w:lang w:val="ro-RO" w:eastAsia="ro-MD"/>
        </w:rPr>
        <w:t xml:space="preserve">1) numele plătitorului (denumirea/numele </w:t>
      </w:r>
      <w:proofErr w:type="spellStart"/>
      <w:r w:rsidRPr="007E7E96">
        <w:rPr>
          <w:lang w:val="ro-RO" w:eastAsia="ro-MD"/>
        </w:rPr>
        <w:t>şi</w:t>
      </w:r>
      <w:proofErr w:type="spellEnd"/>
      <w:r w:rsidRPr="007E7E96">
        <w:rPr>
          <w:lang w:val="ro-RO" w:eastAsia="ro-MD"/>
        </w:rPr>
        <w:t xml:space="preserve"> prenumele);</w:t>
      </w:r>
    </w:p>
    <w:p w14:paraId="68189270" w14:textId="77777777" w:rsidR="007E7E96" w:rsidRPr="007E7E96" w:rsidRDefault="007E7E96" w:rsidP="007E7E96">
      <w:pPr>
        <w:widowControl w:val="0"/>
        <w:jc w:val="both"/>
        <w:rPr>
          <w:lang w:val="ro-RO" w:eastAsia="ro-MD"/>
        </w:rPr>
      </w:pPr>
      <w:r w:rsidRPr="007E7E96">
        <w:rPr>
          <w:lang w:val="ro-RO" w:eastAsia="ro-MD"/>
        </w:rPr>
        <w:t xml:space="preserve">2) numărul de cont de </w:t>
      </w:r>
      <w:proofErr w:type="spellStart"/>
      <w:r w:rsidRPr="007E7E96">
        <w:rPr>
          <w:lang w:val="ro-RO" w:eastAsia="ro-MD"/>
        </w:rPr>
        <w:t>plăţi</w:t>
      </w:r>
      <w:proofErr w:type="spellEnd"/>
      <w:r w:rsidRPr="007E7E96">
        <w:rPr>
          <w:lang w:val="ro-RO" w:eastAsia="ro-MD"/>
        </w:rPr>
        <w:t xml:space="preserve"> al plătitorului;</w:t>
      </w:r>
    </w:p>
    <w:p w14:paraId="11B6B8D1" w14:textId="77777777" w:rsidR="007E7E96" w:rsidRPr="007E7E96" w:rsidRDefault="007E7E96" w:rsidP="007E7E96">
      <w:pPr>
        <w:widowControl w:val="0"/>
        <w:jc w:val="both"/>
        <w:rPr>
          <w:lang w:val="ro-RO" w:eastAsia="ro-MD"/>
        </w:rPr>
      </w:pPr>
      <w:r w:rsidRPr="007E7E96">
        <w:rPr>
          <w:lang w:val="ro-RO" w:eastAsia="ro-MD"/>
        </w:rPr>
        <w:t xml:space="preserve">3) adresa plătitorului, inclusiv denumirea țării, numărul actului de identitate și numărul de identificare al clientului (de ex. IDNP/IDNO) sau, alternativ, data </w:t>
      </w:r>
      <w:proofErr w:type="spellStart"/>
      <w:r w:rsidRPr="007E7E96">
        <w:rPr>
          <w:lang w:val="ro-RO" w:eastAsia="ro-MD"/>
        </w:rPr>
        <w:t>şi</w:t>
      </w:r>
      <w:proofErr w:type="spellEnd"/>
      <w:r w:rsidRPr="007E7E96">
        <w:rPr>
          <w:lang w:val="ro-RO" w:eastAsia="ro-MD"/>
        </w:rPr>
        <w:t xml:space="preserve"> locul </w:t>
      </w:r>
      <w:proofErr w:type="spellStart"/>
      <w:r w:rsidRPr="007E7E96">
        <w:rPr>
          <w:lang w:val="ro-RO" w:eastAsia="ro-MD"/>
        </w:rPr>
        <w:t>naşterii</w:t>
      </w:r>
      <w:proofErr w:type="spellEnd"/>
      <w:r w:rsidRPr="007E7E96">
        <w:rPr>
          <w:lang w:val="ro-RO" w:eastAsia="ro-MD"/>
        </w:rPr>
        <w:t xml:space="preserve"> plătitorului;</w:t>
      </w:r>
    </w:p>
    <w:p w14:paraId="29DCF382" w14:textId="77777777" w:rsidR="007E7E96" w:rsidRPr="007E7E96" w:rsidRDefault="007E7E96" w:rsidP="007E7E96">
      <w:pPr>
        <w:widowControl w:val="0"/>
        <w:spacing w:after="180"/>
        <w:jc w:val="both"/>
        <w:rPr>
          <w:lang w:val="ro-RO" w:eastAsia="ro-MD"/>
        </w:rPr>
      </w:pPr>
      <w:r w:rsidRPr="007E7E96">
        <w:rPr>
          <w:lang w:val="ro-RO" w:eastAsia="ro-MD"/>
        </w:rPr>
        <w:t>4) LEI actual al plătitorului, sub rezerva existenței câmpului necesar în formatul mesajului de plată relevant și în cazul în care plătitorul furnizează această informație sau, în lipsa LEI, orice identificator oficial echivalent disponibil.</w:t>
      </w:r>
    </w:p>
    <w:p w14:paraId="1C7683F1" w14:textId="77777777" w:rsidR="007E7E96" w:rsidRPr="007E7E96" w:rsidRDefault="007E7E96" w:rsidP="007E7E96">
      <w:pPr>
        <w:widowControl w:val="0"/>
        <w:jc w:val="both"/>
        <w:rPr>
          <w:lang w:val="ro-RO" w:eastAsia="ro-MD"/>
        </w:rPr>
      </w:pPr>
      <w:bookmarkStart w:id="10" w:name="_Hlk185928941"/>
      <w:bookmarkEnd w:id="8"/>
      <w:r w:rsidRPr="007E7E96">
        <w:rPr>
          <w:b/>
          <w:bCs/>
          <w:lang w:val="ro-RO" w:eastAsia="ro-MD"/>
        </w:rPr>
        <w:t>67.</w:t>
      </w:r>
      <w:r w:rsidRPr="007E7E96">
        <w:rPr>
          <w:lang w:val="ro-RO" w:eastAsia="ro-MD"/>
        </w:rPr>
        <w:t xml:space="preserve"> Banca </w:t>
      </w:r>
      <w:bookmarkEnd w:id="9"/>
      <w:r w:rsidRPr="007E7E96">
        <w:rPr>
          <w:lang w:val="ro-RO" w:eastAsia="ro-MD"/>
        </w:rPr>
        <w:t xml:space="preserve">asigură că transferul de fonduri este </w:t>
      </w:r>
      <w:proofErr w:type="spellStart"/>
      <w:r w:rsidRPr="007E7E96">
        <w:rPr>
          <w:lang w:val="ro-RO" w:eastAsia="ro-MD"/>
        </w:rPr>
        <w:t>însoţit</w:t>
      </w:r>
      <w:proofErr w:type="spellEnd"/>
      <w:r w:rsidRPr="007E7E96">
        <w:rPr>
          <w:lang w:val="ro-RO" w:eastAsia="ro-MD"/>
        </w:rPr>
        <w:t xml:space="preserve"> de următoarele </w:t>
      </w:r>
      <w:proofErr w:type="spellStart"/>
      <w:r w:rsidRPr="007E7E96">
        <w:rPr>
          <w:lang w:val="ro-RO" w:eastAsia="ro-MD"/>
        </w:rPr>
        <w:t>informaţii</w:t>
      </w:r>
      <w:proofErr w:type="spellEnd"/>
      <w:r w:rsidRPr="007E7E96">
        <w:rPr>
          <w:lang w:val="ro-RO" w:eastAsia="ro-MD"/>
        </w:rPr>
        <w:t xml:space="preserve"> cu privire la beneficiarul </w:t>
      </w:r>
      <w:proofErr w:type="spellStart"/>
      <w:r w:rsidRPr="007E7E96">
        <w:rPr>
          <w:lang w:val="ro-RO" w:eastAsia="ro-MD"/>
        </w:rPr>
        <w:t>plăţii</w:t>
      </w:r>
      <w:proofErr w:type="spellEnd"/>
      <w:r w:rsidRPr="007E7E96">
        <w:rPr>
          <w:lang w:val="ro-RO" w:eastAsia="ro-MD"/>
        </w:rPr>
        <w:t>:</w:t>
      </w:r>
    </w:p>
    <w:p w14:paraId="09B0737F" w14:textId="77777777" w:rsidR="007E7E96" w:rsidRPr="007E7E96" w:rsidRDefault="007E7E96" w:rsidP="007E7E96">
      <w:pPr>
        <w:widowControl w:val="0"/>
        <w:jc w:val="both"/>
        <w:rPr>
          <w:lang w:val="ro-RO" w:eastAsia="ro-MD"/>
        </w:rPr>
      </w:pPr>
      <w:r w:rsidRPr="007E7E96">
        <w:rPr>
          <w:lang w:val="ro-RO" w:eastAsia="ro-MD"/>
        </w:rPr>
        <w:t xml:space="preserve">1) numele (denumirea, numele </w:t>
      </w:r>
      <w:r w:rsidRPr="007E7E96">
        <w:rPr>
          <w:lang w:val="ro-MD" w:eastAsia="ro-MD"/>
        </w:rPr>
        <w:t>și prenumele</w:t>
      </w:r>
      <w:r w:rsidRPr="007E7E96">
        <w:rPr>
          <w:lang w:val="ro-RO" w:eastAsia="ro-MD"/>
        </w:rPr>
        <w:t xml:space="preserve">) beneficiarului </w:t>
      </w:r>
      <w:proofErr w:type="spellStart"/>
      <w:r w:rsidRPr="007E7E96">
        <w:rPr>
          <w:lang w:val="ro-RO" w:eastAsia="ro-MD"/>
        </w:rPr>
        <w:t>plăţii</w:t>
      </w:r>
      <w:proofErr w:type="spellEnd"/>
      <w:r w:rsidRPr="007E7E96">
        <w:rPr>
          <w:lang w:val="ro-RO" w:eastAsia="ro-MD"/>
        </w:rPr>
        <w:t>;</w:t>
      </w:r>
    </w:p>
    <w:p w14:paraId="514B726D" w14:textId="77777777" w:rsidR="007E7E96" w:rsidRPr="007E7E96" w:rsidRDefault="007E7E96" w:rsidP="007E7E96">
      <w:pPr>
        <w:widowControl w:val="0"/>
        <w:jc w:val="both"/>
        <w:rPr>
          <w:lang w:val="ro-RO" w:eastAsia="ro-MD"/>
        </w:rPr>
      </w:pPr>
      <w:r w:rsidRPr="007E7E96">
        <w:rPr>
          <w:lang w:val="ro-RO" w:eastAsia="ro-MD"/>
        </w:rPr>
        <w:t xml:space="preserve">2) numărul de cont de </w:t>
      </w:r>
      <w:proofErr w:type="spellStart"/>
      <w:r w:rsidRPr="007E7E96">
        <w:rPr>
          <w:lang w:val="ro-RO" w:eastAsia="ro-MD"/>
        </w:rPr>
        <w:t>plăţi</w:t>
      </w:r>
      <w:proofErr w:type="spellEnd"/>
      <w:r w:rsidRPr="007E7E96">
        <w:rPr>
          <w:lang w:val="ro-RO" w:eastAsia="ro-MD"/>
        </w:rPr>
        <w:t xml:space="preserve"> al beneficiarului </w:t>
      </w:r>
      <w:proofErr w:type="spellStart"/>
      <w:r w:rsidRPr="007E7E96">
        <w:rPr>
          <w:lang w:val="ro-RO" w:eastAsia="ro-MD"/>
        </w:rPr>
        <w:t>plăţii</w:t>
      </w:r>
      <w:proofErr w:type="spellEnd"/>
      <w:r w:rsidRPr="007E7E96">
        <w:rPr>
          <w:lang w:val="ro-RO" w:eastAsia="ro-MD"/>
        </w:rPr>
        <w:t>; și</w:t>
      </w:r>
    </w:p>
    <w:p w14:paraId="5671AEA4" w14:textId="1C024B81" w:rsidR="007E7E96" w:rsidRDefault="007E7E96" w:rsidP="007E7E96">
      <w:pPr>
        <w:widowControl w:val="0"/>
        <w:spacing w:after="180"/>
        <w:jc w:val="both"/>
        <w:rPr>
          <w:lang w:val="ro-RO" w:eastAsia="ro-MD"/>
        </w:rPr>
      </w:pPr>
      <w:r w:rsidRPr="007E7E96">
        <w:rPr>
          <w:lang w:val="ro-RO" w:eastAsia="ro-MD"/>
        </w:rPr>
        <w:t>3) LEI actual al beneficiarului plății, sub rezerva existenței câmpului necesar în formatul mesajului de plată relevant și în cazul în care plătitorul furnizează această informație sau, în lipsa LEI, orice identificator oficial echivalent disponibil.</w:t>
      </w:r>
      <w:r>
        <w:rPr>
          <w:lang w:val="ro-RO" w:eastAsia="ro-MD"/>
        </w:rPr>
        <w:t>”</w:t>
      </w:r>
      <w:r w:rsidR="00D3751A">
        <w:rPr>
          <w:lang w:val="ro-RO" w:eastAsia="ro-MD"/>
        </w:rPr>
        <w:t>.</w:t>
      </w:r>
    </w:p>
    <w:p w14:paraId="0D2BD6D0" w14:textId="1F176191" w:rsidR="007E7E96" w:rsidRDefault="007E7E96" w:rsidP="007E7E96">
      <w:pPr>
        <w:widowControl w:val="0"/>
        <w:spacing w:after="180"/>
        <w:ind w:left="851" w:hanging="567"/>
        <w:jc w:val="both"/>
        <w:rPr>
          <w:lang w:val="ro-RO" w:eastAsia="ro-MD"/>
        </w:rPr>
      </w:pPr>
      <w:r>
        <w:rPr>
          <w:lang w:val="ro-RO" w:eastAsia="ro-MD"/>
        </w:rPr>
        <w:t>5)</w:t>
      </w:r>
      <w:r>
        <w:rPr>
          <w:lang w:val="ro-RO" w:eastAsia="ro-MD"/>
        </w:rPr>
        <w:tab/>
        <w:t>La pct. 68</w:t>
      </w:r>
      <w:r w:rsidR="00D3751A">
        <w:rPr>
          <w:lang w:val="ro-RO" w:eastAsia="ro-MD"/>
        </w:rPr>
        <w:t>,</w:t>
      </w:r>
      <w:r>
        <w:rPr>
          <w:lang w:val="ro-RO" w:eastAsia="ro-MD"/>
        </w:rPr>
        <w:t xml:space="preserve"> ambele texte „(bancar)” și textul „(numerelor)” se exclud.</w:t>
      </w:r>
    </w:p>
    <w:p w14:paraId="3CC97E37" w14:textId="04683F46" w:rsidR="007E7E96" w:rsidRDefault="007E7E96" w:rsidP="007E7E96">
      <w:pPr>
        <w:widowControl w:val="0"/>
        <w:spacing w:after="180"/>
        <w:ind w:left="851" w:hanging="567"/>
        <w:jc w:val="both"/>
        <w:rPr>
          <w:lang w:val="ro-RO" w:eastAsia="ro-MD"/>
        </w:rPr>
      </w:pPr>
      <w:r>
        <w:rPr>
          <w:lang w:val="ro-RO" w:eastAsia="ro-MD"/>
        </w:rPr>
        <w:t>6)</w:t>
      </w:r>
      <w:r>
        <w:rPr>
          <w:lang w:val="ro-RO" w:eastAsia="ro-MD"/>
        </w:rPr>
        <w:tab/>
      </w:r>
      <w:r w:rsidR="00D3751A">
        <w:rPr>
          <w:lang w:val="ro-RO" w:eastAsia="ro-MD"/>
        </w:rPr>
        <w:t>L</w:t>
      </w:r>
      <w:r>
        <w:rPr>
          <w:lang w:val="ro-RO" w:eastAsia="ro-MD"/>
        </w:rPr>
        <w:t>a pct. 69, după textul „la pct.66”</w:t>
      </w:r>
      <w:r w:rsidR="00D3751A">
        <w:rPr>
          <w:lang w:val="ro-RO" w:eastAsia="ro-MD"/>
        </w:rPr>
        <w:t>,</w:t>
      </w:r>
      <w:r>
        <w:rPr>
          <w:lang w:val="ro-RO" w:eastAsia="ro-MD"/>
        </w:rPr>
        <w:t xml:space="preserve"> se completează cu textul „</w:t>
      </w:r>
      <w:r w:rsidRPr="007E7E96">
        <w:rPr>
          <w:lang w:val="ro-RO" w:eastAsia="ro-MD"/>
        </w:rPr>
        <w:t>și, dacă este cazul, la pct. 68,</w:t>
      </w:r>
      <w:r>
        <w:rPr>
          <w:lang w:val="ro-RO" w:eastAsia="ro-MD"/>
        </w:rPr>
        <w:t>”.</w:t>
      </w:r>
    </w:p>
    <w:p w14:paraId="1C2D6C50" w14:textId="54003BEA" w:rsidR="007E7E96" w:rsidRDefault="007E7E96" w:rsidP="007E7E96">
      <w:pPr>
        <w:widowControl w:val="0"/>
        <w:spacing w:after="180"/>
        <w:ind w:left="851" w:hanging="567"/>
        <w:jc w:val="both"/>
        <w:rPr>
          <w:lang w:val="ro-RO" w:eastAsia="ro-MD"/>
        </w:rPr>
      </w:pPr>
      <w:r>
        <w:rPr>
          <w:lang w:val="ro-RO" w:eastAsia="ro-MD"/>
        </w:rPr>
        <w:lastRenderedPageBreak/>
        <w:t>7)</w:t>
      </w:r>
      <w:r>
        <w:rPr>
          <w:lang w:val="ro-RO" w:eastAsia="ro-MD"/>
        </w:rPr>
        <w:tab/>
      </w:r>
      <w:bookmarkStart w:id="11" w:name="_Hlk186189538"/>
      <w:r w:rsidRPr="007E7E96">
        <w:rPr>
          <w:lang w:val="ro-RO" w:eastAsia="ro-MD"/>
        </w:rPr>
        <w:t xml:space="preserve">Se completează cu punctul </w:t>
      </w:r>
      <w:bookmarkStart w:id="12" w:name="_Hlk186189656"/>
      <w:r>
        <w:rPr>
          <w:lang w:val="ro-RO" w:eastAsia="ro-MD"/>
        </w:rPr>
        <w:t>69</w:t>
      </w:r>
      <w:r>
        <w:rPr>
          <w:vertAlign w:val="superscript"/>
          <w:lang w:val="ro-RO" w:eastAsia="ro-MD"/>
        </w:rPr>
        <w:t>1</w:t>
      </w:r>
      <w:bookmarkEnd w:id="12"/>
      <w:r w:rsidRPr="007E7E96">
        <w:rPr>
          <w:lang w:val="ro-RO" w:eastAsia="ro-MD"/>
        </w:rPr>
        <w:t xml:space="preserve"> cu următorul cuprins:</w:t>
      </w:r>
      <w:bookmarkEnd w:id="11"/>
    </w:p>
    <w:p w14:paraId="052BF667" w14:textId="77777777" w:rsidR="007E7E96" w:rsidRDefault="007E7E96" w:rsidP="007E7E96">
      <w:pPr>
        <w:widowControl w:val="0"/>
        <w:spacing w:after="180"/>
        <w:jc w:val="both"/>
        <w:rPr>
          <w:lang w:val="ro-RO" w:eastAsia="ro-MD"/>
        </w:rPr>
      </w:pPr>
      <w:bookmarkStart w:id="13" w:name="_Hlk185929550"/>
      <w:r>
        <w:rPr>
          <w:b/>
          <w:bCs/>
          <w:lang w:val="ro-RO" w:eastAsia="ro-MD"/>
        </w:rPr>
        <w:t>„</w:t>
      </w:r>
      <w:r w:rsidRPr="006B39AA">
        <w:rPr>
          <w:b/>
          <w:bCs/>
          <w:lang w:val="ro-RO" w:eastAsia="ro-MD"/>
        </w:rPr>
        <w:t>69</w:t>
      </w:r>
      <w:r w:rsidRPr="006B39AA">
        <w:rPr>
          <w:b/>
          <w:bCs/>
          <w:vertAlign w:val="superscript"/>
          <w:lang w:val="ro-RO" w:eastAsia="ro-MD"/>
        </w:rPr>
        <w:t>1</w:t>
      </w:r>
      <w:r w:rsidRPr="006B39AA">
        <w:rPr>
          <w:lang w:val="ro-RO" w:eastAsia="ro-MD"/>
        </w:rPr>
        <w:t>. Obligația de verificare a plenitudinii și exactității informațiilor cu privire la plătitor menționată la pct. 69 se consideră a fi îndeplinită dacă banca aplică măsuri de precauție pentru verificarea identității plătitorului, actualizează și păstrează informația privind plătitorul în conformitate cu prevederile Cap. V-VII și X din prezentul Regulament.</w:t>
      </w:r>
      <w:r>
        <w:rPr>
          <w:lang w:val="ro-RO" w:eastAsia="ro-MD"/>
        </w:rPr>
        <w:t>”.</w:t>
      </w:r>
    </w:p>
    <w:p w14:paraId="533D14EE" w14:textId="04093E98" w:rsidR="007E7E96" w:rsidRDefault="007E7E96" w:rsidP="007E7E96">
      <w:pPr>
        <w:widowControl w:val="0"/>
        <w:spacing w:after="180"/>
        <w:ind w:firstLine="284"/>
        <w:jc w:val="both"/>
        <w:rPr>
          <w:lang w:val="ro-RO" w:eastAsia="ro-MD"/>
        </w:rPr>
      </w:pPr>
      <w:r>
        <w:rPr>
          <w:lang w:val="ro-RO" w:eastAsia="ro-MD"/>
        </w:rPr>
        <w:t>8)</w:t>
      </w:r>
      <w:r>
        <w:rPr>
          <w:lang w:val="ro-RO" w:eastAsia="ro-MD"/>
        </w:rPr>
        <w:tab/>
      </w:r>
      <w:bookmarkStart w:id="14" w:name="_Hlk186189881"/>
      <w:r>
        <w:rPr>
          <w:lang w:val="ro-RO" w:eastAsia="ro-MD"/>
        </w:rPr>
        <w:t>Pct. 70 va avea următorul cuprins:</w:t>
      </w:r>
      <w:bookmarkEnd w:id="14"/>
    </w:p>
    <w:p w14:paraId="6C7BF22E" w14:textId="33ECEC47" w:rsidR="007E7E96" w:rsidRDefault="007E7E96" w:rsidP="007E7E96">
      <w:pPr>
        <w:widowControl w:val="0"/>
        <w:spacing w:after="180"/>
        <w:jc w:val="both"/>
        <w:rPr>
          <w:lang w:val="ro-RO" w:eastAsia="ro-MD"/>
        </w:rPr>
      </w:pPr>
      <w:r>
        <w:rPr>
          <w:lang w:val="ro-RO" w:eastAsia="ro-MD"/>
        </w:rPr>
        <w:t>„</w:t>
      </w:r>
      <w:bookmarkStart w:id="15" w:name="_Hlk184909961"/>
      <w:r w:rsidRPr="007E7E96">
        <w:rPr>
          <w:b/>
          <w:bCs/>
          <w:lang w:val="ro-RO" w:eastAsia="ro-MD"/>
        </w:rPr>
        <w:t>70.</w:t>
      </w:r>
      <w:r w:rsidRPr="007E7E96">
        <w:rPr>
          <w:lang w:val="ro-RO" w:eastAsia="ro-MD"/>
        </w:rPr>
        <w:t xml:space="preserve"> Prin derogare de la pct. 66 și, după caz, fără a aduce atingere informațiilor necesare în conformitate cu Regulamentul cu privire la transferul de credit, debitare directă și atribuirea codurilor IBAN, aprobat prin Hotărârea Comitetului Executiv al Băncii Naționale a Moldovei nr. 108/2023, în cazul în care prestatorul de servicii de plată al beneficiarului plății este stabilit în afara Republicii Moldova, banca asigură că transferul de fonduri internațional a cărui valoare nu depășește echivalentul a 20000 lei și care nu pare să fie legat de alte transferuri de fonduri care, împreună cu transferul în cauză, ar depăși echivalentul a 20000 lei este însoțit cel puțin, de </w:t>
      </w:r>
      <w:r w:rsidR="00D3751A" w:rsidRPr="007E7E96">
        <w:rPr>
          <w:lang w:val="ro-RO" w:eastAsia="ro-MD"/>
        </w:rPr>
        <w:t>informații</w:t>
      </w:r>
      <w:r w:rsidRPr="007E7E96">
        <w:rPr>
          <w:lang w:val="ro-RO" w:eastAsia="ro-MD"/>
        </w:rPr>
        <w:t xml:space="preserve"> privind numele plătitorului </w:t>
      </w:r>
      <w:r w:rsidR="00D3751A" w:rsidRPr="007E7E96">
        <w:rPr>
          <w:lang w:val="ro-RO" w:eastAsia="ro-MD"/>
        </w:rPr>
        <w:t>și</w:t>
      </w:r>
      <w:r w:rsidRPr="007E7E96">
        <w:rPr>
          <w:lang w:val="ro-RO" w:eastAsia="ro-MD"/>
        </w:rPr>
        <w:t xml:space="preserve"> al beneficiarului </w:t>
      </w:r>
      <w:r w:rsidR="00D3751A" w:rsidRPr="007E7E96">
        <w:rPr>
          <w:lang w:val="ro-RO" w:eastAsia="ro-MD"/>
        </w:rPr>
        <w:t>plății</w:t>
      </w:r>
      <w:r w:rsidRPr="007E7E96">
        <w:rPr>
          <w:lang w:val="ro-RO" w:eastAsia="ro-MD"/>
        </w:rPr>
        <w:t xml:space="preserve">, </w:t>
      </w:r>
      <w:r w:rsidR="00D3751A" w:rsidRPr="007E7E96">
        <w:rPr>
          <w:lang w:val="ro-RO" w:eastAsia="ro-MD"/>
        </w:rPr>
        <w:t>și</w:t>
      </w:r>
      <w:r w:rsidRPr="007E7E96">
        <w:rPr>
          <w:lang w:val="ro-RO" w:eastAsia="ro-MD"/>
        </w:rPr>
        <w:t xml:space="preserve"> numărul de cont al plătitorului și al beneficiarului plății sau, în cazul aplicabilității pct. 68, codul unic de identificare a </w:t>
      </w:r>
      <w:r w:rsidR="00D3751A" w:rsidRPr="007E7E96">
        <w:rPr>
          <w:lang w:val="ro-RO" w:eastAsia="ro-MD"/>
        </w:rPr>
        <w:t>tranzacției</w:t>
      </w:r>
      <w:r w:rsidRPr="007E7E96">
        <w:rPr>
          <w:lang w:val="ro-RO" w:eastAsia="ro-MD"/>
        </w:rPr>
        <w:t>.</w:t>
      </w:r>
      <w:r w:rsidR="00122861">
        <w:rPr>
          <w:lang w:val="ro-RO" w:eastAsia="ro-MD"/>
        </w:rPr>
        <w:t>”.</w:t>
      </w:r>
    </w:p>
    <w:p w14:paraId="5A7F772B" w14:textId="339237FB" w:rsidR="00122861" w:rsidRPr="007E7E96" w:rsidRDefault="00122861" w:rsidP="00122861">
      <w:pPr>
        <w:widowControl w:val="0"/>
        <w:spacing w:after="180"/>
        <w:ind w:firstLine="284"/>
        <w:jc w:val="both"/>
        <w:rPr>
          <w:lang w:val="ro-RO" w:eastAsia="ro-MD"/>
        </w:rPr>
      </w:pPr>
      <w:r>
        <w:rPr>
          <w:lang w:val="ro-RO" w:eastAsia="ro-MD"/>
        </w:rPr>
        <w:t>9)</w:t>
      </w:r>
      <w:r>
        <w:rPr>
          <w:lang w:val="ro-RO" w:eastAsia="ro-MD"/>
        </w:rPr>
        <w:tab/>
      </w:r>
      <w:bookmarkStart w:id="16" w:name="_Hlk186189709"/>
      <w:r w:rsidRPr="00122861">
        <w:rPr>
          <w:lang w:val="ro-RO" w:eastAsia="ro-MD"/>
        </w:rPr>
        <w:t xml:space="preserve">Se completează cu punctul </w:t>
      </w:r>
      <w:r>
        <w:rPr>
          <w:lang w:val="ro-RO" w:eastAsia="ro-MD"/>
        </w:rPr>
        <w:t>70</w:t>
      </w:r>
      <w:r>
        <w:rPr>
          <w:vertAlign w:val="superscript"/>
          <w:lang w:val="ro-RO" w:eastAsia="ro-MD"/>
        </w:rPr>
        <w:t>1</w:t>
      </w:r>
      <w:r w:rsidRPr="00122861">
        <w:rPr>
          <w:lang w:val="ro-RO" w:eastAsia="ro-MD"/>
        </w:rPr>
        <w:t xml:space="preserve"> cu următorul cuprins:</w:t>
      </w:r>
      <w:bookmarkEnd w:id="16"/>
    </w:p>
    <w:bookmarkEnd w:id="15"/>
    <w:p w14:paraId="7998357A" w14:textId="77777777" w:rsidR="00122861" w:rsidRPr="00122861" w:rsidRDefault="00122861" w:rsidP="00122861">
      <w:pPr>
        <w:widowControl w:val="0"/>
        <w:jc w:val="both"/>
        <w:rPr>
          <w:lang w:val="ro-RO" w:eastAsia="ro-MD"/>
        </w:rPr>
      </w:pPr>
      <w:r>
        <w:rPr>
          <w:lang w:val="ro-RO" w:eastAsia="ro-MD"/>
        </w:rPr>
        <w:t>„</w:t>
      </w:r>
      <w:bookmarkStart w:id="17" w:name="_Hlk184913491"/>
      <w:bookmarkStart w:id="18" w:name="_Hlk185931270"/>
      <w:r w:rsidRPr="00122861">
        <w:rPr>
          <w:b/>
          <w:bCs/>
          <w:lang w:val="ro-RO" w:eastAsia="ro-MD"/>
        </w:rPr>
        <w:t>70</w:t>
      </w:r>
      <w:r w:rsidRPr="00122861">
        <w:rPr>
          <w:b/>
          <w:bCs/>
          <w:vertAlign w:val="superscript"/>
          <w:lang w:val="ro-RO" w:eastAsia="ro-MD"/>
        </w:rPr>
        <w:t>1</w:t>
      </w:r>
      <w:r w:rsidRPr="00122861">
        <w:rPr>
          <w:lang w:val="ro-RO" w:eastAsia="ro-MD"/>
        </w:rPr>
        <w:t>. Prin derogare de la pct. 69, în situația prevăzută la pct. 70, banca are obligația de verifica informațiile referitoare la plătitor doar când aceasta:</w:t>
      </w:r>
    </w:p>
    <w:p w14:paraId="5F488420" w14:textId="77777777" w:rsidR="00122861" w:rsidRPr="00122861" w:rsidRDefault="00122861" w:rsidP="00122861">
      <w:pPr>
        <w:widowControl w:val="0"/>
        <w:jc w:val="both"/>
        <w:rPr>
          <w:lang w:val="ro-RO" w:eastAsia="ro-MD"/>
        </w:rPr>
      </w:pPr>
      <w:r w:rsidRPr="00122861">
        <w:rPr>
          <w:lang w:val="ro-RO" w:eastAsia="ro-MD"/>
        </w:rPr>
        <w:t xml:space="preserve">1) a primit fondurile care fac obiectul transferului în numerar sau </w:t>
      </w:r>
      <w:r w:rsidRPr="00122861">
        <w:rPr>
          <w:lang w:val="ro-MD" w:eastAsia="ro-MD"/>
        </w:rPr>
        <w:t>în monedă electronică anonimă</w:t>
      </w:r>
      <w:r w:rsidRPr="00122861">
        <w:rPr>
          <w:lang w:val="ro-RO" w:eastAsia="ro-MD"/>
        </w:rPr>
        <w:t>; sau</w:t>
      </w:r>
    </w:p>
    <w:p w14:paraId="17B7D5DA" w14:textId="77777777" w:rsidR="00122861" w:rsidRDefault="00122861" w:rsidP="00122861">
      <w:pPr>
        <w:widowControl w:val="0"/>
        <w:spacing w:after="180"/>
        <w:jc w:val="both"/>
        <w:rPr>
          <w:lang w:val="ro-RO" w:eastAsia="ro-MD"/>
        </w:rPr>
      </w:pPr>
      <w:r w:rsidRPr="00122861">
        <w:rPr>
          <w:lang w:val="ro-RO" w:eastAsia="ro-MD"/>
        </w:rPr>
        <w:t>2) are motive întemeiate să suspecteze o activitate de spălare a banilor sau finanțare a terorismului.</w:t>
      </w:r>
      <w:r>
        <w:rPr>
          <w:lang w:val="ro-RO" w:eastAsia="ro-MD"/>
        </w:rPr>
        <w:t>”.</w:t>
      </w:r>
    </w:p>
    <w:bookmarkEnd w:id="17"/>
    <w:p w14:paraId="7C01B4BC" w14:textId="52BCEFC2" w:rsidR="00122861" w:rsidRDefault="00122861" w:rsidP="00122861">
      <w:pPr>
        <w:widowControl w:val="0"/>
        <w:spacing w:after="180"/>
        <w:ind w:firstLine="284"/>
        <w:jc w:val="both"/>
        <w:rPr>
          <w:lang w:val="ro-RO" w:eastAsia="ro-MD"/>
        </w:rPr>
      </w:pPr>
      <w:r>
        <w:rPr>
          <w:lang w:val="ro-RO" w:eastAsia="ro-MD"/>
        </w:rPr>
        <w:t>10)</w:t>
      </w:r>
      <w:r>
        <w:rPr>
          <w:lang w:val="ro-RO" w:eastAsia="ro-MD"/>
        </w:rPr>
        <w:tab/>
        <w:t xml:space="preserve">La pct.71, după textul „în conformitate cu pct.69”, se completează cu textul „și </w:t>
      </w:r>
      <w:r w:rsidRPr="00122861">
        <w:rPr>
          <w:lang w:val="ro-RO" w:eastAsia="ro-MD"/>
        </w:rPr>
        <w:t>69</w:t>
      </w:r>
      <w:r w:rsidRPr="00122861">
        <w:rPr>
          <w:vertAlign w:val="superscript"/>
          <w:lang w:val="ro-RO" w:eastAsia="ro-MD"/>
        </w:rPr>
        <w:t>1</w:t>
      </w:r>
      <w:r>
        <w:rPr>
          <w:lang w:val="ro-RO" w:eastAsia="ro-MD"/>
        </w:rPr>
        <w:t>”.</w:t>
      </w:r>
    </w:p>
    <w:p w14:paraId="793CEB88" w14:textId="687B0D8E" w:rsidR="00122861" w:rsidRPr="00122861" w:rsidRDefault="00122861" w:rsidP="00122861">
      <w:pPr>
        <w:widowControl w:val="0"/>
        <w:spacing w:after="180"/>
        <w:ind w:firstLine="284"/>
        <w:jc w:val="both"/>
        <w:rPr>
          <w:lang w:val="ro-RO" w:eastAsia="ro-MD"/>
        </w:rPr>
      </w:pPr>
      <w:r>
        <w:rPr>
          <w:lang w:val="ro-RO" w:eastAsia="ro-MD"/>
        </w:rPr>
        <w:t>11)</w:t>
      </w:r>
      <w:r>
        <w:rPr>
          <w:lang w:val="ro-RO" w:eastAsia="ro-MD"/>
        </w:rPr>
        <w:tab/>
      </w:r>
      <w:r w:rsidRPr="00122861">
        <w:rPr>
          <w:lang w:val="ro-RO" w:eastAsia="ro-MD"/>
        </w:rPr>
        <w:t>Se completează cu punctul 7</w:t>
      </w:r>
      <w:r>
        <w:rPr>
          <w:lang w:val="ro-RO" w:eastAsia="ro-MD"/>
        </w:rPr>
        <w:t>1</w:t>
      </w:r>
      <w:r w:rsidRPr="00122861">
        <w:rPr>
          <w:vertAlign w:val="superscript"/>
          <w:lang w:val="ro-RO" w:eastAsia="ro-MD"/>
        </w:rPr>
        <w:t>1</w:t>
      </w:r>
      <w:r w:rsidRPr="00122861">
        <w:rPr>
          <w:lang w:val="ro-RO" w:eastAsia="ro-MD"/>
        </w:rPr>
        <w:t xml:space="preserve"> cu următorul cuprins:</w:t>
      </w:r>
    </w:p>
    <w:p w14:paraId="58E442FC" w14:textId="2B5267F4" w:rsidR="00122861" w:rsidRPr="00122861" w:rsidRDefault="00122861" w:rsidP="00122861">
      <w:pPr>
        <w:widowControl w:val="0"/>
        <w:spacing w:after="180"/>
        <w:jc w:val="both"/>
        <w:rPr>
          <w:lang w:val="ro-RO" w:eastAsia="ro-MD"/>
        </w:rPr>
      </w:pPr>
      <w:bookmarkStart w:id="19" w:name="_Hlk185937212"/>
      <w:bookmarkEnd w:id="18"/>
      <w:r>
        <w:rPr>
          <w:lang w:val="ro-RO" w:eastAsia="ro-MD"/>
        </w:rPr>
        <w:t>„</w:t>
      </w:r>
      <w:r w:rsidRPr="00122861">
        <w:rPr>
          <w:b/>
          <w:bCs/>
          <w:lang w:val="ro-RO" w:eastAsia="ro-MD"/>
        </w:rPr>
        <w:t>71</w:t>
      </w:r>
      <w:r w:rsidRPr="00122861">
        <w:rPr>
          <w:b/>
          <w:bCs/>
          <w:vertAlign w:val="superscript"/>
          <w:lang w:val="ro-RO" w:eastAsia="ro-MD"/>
        </w:rPr>
        <w:t>1</w:t>
      </w:r>
      <w:r w:rsidRPr="00122861">
        <w:rPr>
          <w:b/>
          <w:bCs/>
          <w:lang w:val="ro-RO" w:eastAsia="ro-MD"/>
        </w:rPr>
        <w:t>.</w:t>
      </w:r>
      <w:r w:rsidRPr="00122861">
        <w:rPr>
          <w:lang w:val="ro-RO" w:eastAsia="ro-MD"/>
        </w:rPr>
        <w:t xml:space="preserve"> Prin derogare de la pct. 66 și 67 și, după caz, fără a aduce atingere informațiilor necesare în conformitate cu Regulamentul cu privire la transferul de credit, debitare directă și atribuirea codurilor IBAN, aprobat prin Hotărârea Comitetului Executiv al Băncii Naționale a Moldovei nr. 108/2023, atunci când toți prestatorii de servicii de plată implicați în lanțul de plată sunt stabiliți pe teritoriul Republicii Moldova, transferurile de fonduri sunt însoțite cel puțin de numărul de cont de plăți al plătitorului și al beneficiarului plății sau, în cazul aplicabilității pct.68, de codul unic de identificare a tranzacției. În acest caz, în termen de cel mult trei zile lucrătoare de la primirea unei cereri de informații de la prestatorul de servicii de plată al beneficiarului plății sau a prestatorului intermediar, banca va pune la dispoziție următoarele informații:</w:t>
      </w:r>
    </w:p>
    <w:p w14:paraId="47EAAB9E" w14:textId="77777777" w:rsidR="00122861" w:rsidRPr="00122861" w:rsidRDefault="00122861" w:rsidP="00122861">
      <w:pPr>
        <w:widowControl w:val="0"/>
        <w:ind w:left="284" w:hanging="284"/>
        <w:jc w:val="both"/>
        <w:rPr>
          <w:lang w:val="ro-RO" w:eastAsia="ro-MD"/>
        </w:rPr>
      </w:pPr>
      <w:bookmarkStart w:id="20" w:name="_Hlk184917197"/>
      <w:bookmarkEnd w:id="19"/>
      <w:r w:rsidRPr="00122861">
        <w:rPr>
          <w:lang w:val="ro-RO" w:eastAsia="ro-MD"/>
        </w:rPr>
        <w:t>1) privind plătitorul și beneficiarul plății în conformitate cu pct. 66-68, în cazul transferului de fonduri care depășește suma de 20000 lei sau echivalentul acesteia, indiferent dacă transferul respectiv este efectuat printr-o singură tranzacție sau mai multe tranzacții care par să fie legate;</w:t>
      </w:r>
    </w:p>
    <w:p w14:paraId="10C69FB9" w14:textId="336599E0" w:rsidR="00122861" w:rsidRDefault="00122861" w:rsidP="00122861">
      <w:pPr>
        <w:widowControl w:val="0"/>
        <w:spacing w:after="180"/>
        <w:ind w:left="284" w:hanging="284"/>
        <w:jc w:val="both"/>
        <w:rPr>
          <w:lang w:val="ro-RO" w:eastAsia="ro-MD"/>
        </w:rPr>
      </w:pPr>
      <w:r w:rsidRPr="00122861">
        <w:rPr>
          <w:lang w:val="ro-RO" w:eastAsia="ro-MD"/>
        </w:rPr>
        <w:t xml:space="preserve">2) numele plătitorului și al beneficiarului plății și numărul de cont de plăți al plătitorului și al beneficiarului plății sau, la aplicabilitatea pct. 68, codul unic de identificare a tranzacției, pentru transferurile de fonduri care nu depășesc limita stabilita la </w:t>
      </w:r>
      <w:proofErr w:type="spellStart"/>
      <w:r w:rsidRPr="00122861">
        <w:rPr>
          <w:lang w:val="ro-RO" w:eastAsia="ro-MD"/>
        </w:rPr>
        <w:t>subpct</w:t>
      </w:r>
      <w:proofErr w:type="spellEnd"/>
      <w:r w:rsidRPr="00122861">
        <w:rPr>
          <w:lang w:val="ro-RO" w:eastAsia="ro-MD"/>
        </w:rPr>
        <w:t>. 1)</w:t>
      </w:r>
      <w:r w:rsidR="005619FC">
        <w:rPr>
          <w:lang w:val="ro-RO" w:eastAsia="ro-MD"/>
        </w:rPr>
        <w:t>.</w:t>
      </w:r>
      <w:r w:rsidRPr="00122861">
        <w:rPr>
          <w:lang w:val="ro-RO" w:eastAsia="ro-MD"/>
        </w:rPr>
        <w:t xml:space="preserve"> În acest caz, obligația de verificare a informației privind plătitorul corespunde cu cea prevăzută la pct. 70</w:t>
      </w:r>
      <w:r w:rsidRPr="00122861">
        <w:rPr>
          <w:vertAlign w:val="superscript"/>
          <w:lang w:val="ro-RO" w:eastAsia="ro-MD"/>
        </w:rPr>
        <w:t>1</w:t>
      </w:r>
      <w:r w:rsidRPr="00122861">
        <w:rPr>
          <w:lang w:val="ro-RO" w:eastAsia="ro-MD"/>
        </w:rPr>
        <w:t>.</w:t>
      </w:r>
      <w:r>
        <w:rPr>
          <w:lang w:val="ro-RO" w:eastAsia="ro-MD"/>
        </w:rPr>
        <w:t>”</w:t>
      </w:r>
    </w:p>
    <w:p w14:paraId="116C79C4" w14:textId="62789D0B" w:rsidR="00122861" w:rsidRDefault="00122861" w:rsidP="00122861">
      <w:pPr>
        <w:widowControl w:val="0"/>
        <w:spacing w:after="180"/>
        <w:ind w:left="284"/>
        <w:jc w:val="both"/>
        <w:rPr>
          <w:lang w:val="ro-RO" w:eastAsia="ro-MD"/>
        </w:rPr>
      </w:pPr>
      <w:r>
        <w:rPr>
          <w:lang w:val="ro-RO" w:eastAsia="ro-MD"/>
        </w:rPr>
        <w:lastRenderedPageBreak/>
        <w:t>12)</w:t>
      </w:r>
      <w:r>
        <w:rPr>
          <w:lang w:val="ro-RO" w:eastAsia="ro-MD"/>
        </w:rPr>
        <w:tab/>
      </w:r>
      <w:bookmarkStart w:id="21" w:name="_Hlk186190259"/>
      <w:r w:rsidRPr="00122861">
        <w:rPr>
          <w:lang w:val="ro-RO" w:eastAsia="ro-MD"/>
        </w:rPr>
        <w:t>Pct. 7</w:t>
      </w:r>
      <w:r>
        <w:rPr>
          <w:lang w:val="ro-RO" w:eastAsia="ro-MD"/>
        </w:rPr>
        <w:t xml:space="preserve">2-75 </w:t>
      </w:r>
      <w:r w:rsidRPr="00122861">
        <w:rPr>
          <w:lang w:val="ro-RO" w:eastAsia="ro-MD"/>
        </w:rPr>
        <w:t>v</w:t>
      </w:r>
      <w:r>
        <w:rPr>
          <w:lang w:val="ro-RO" w:eastAsia="ro-MD"/>
        </w:rPr>
        <w:t>or</w:t>
      </w:r>
      <w:r w:rsidRPr="00122861">
        <w:rPr>
          <w:lang w:val="ro-RO" w:eastAsia="ro-MD"/>
        </w:rPr>
        <w:t xml:space="preserve"> avea următorul cuprins:</w:t>
      </w:r>
    </w:p>
    <w:bookmarkEnd w:id="21"/>
    <w:p w14:paraId="012AF2FD" w14:textId="330C870F" w:rsidR="00122861" w:rsidRDefault="00122861" w:rsidP="00122861">
      <w:pPr>
        <w:widowControl w:val="0"/>
        <w:spacing w:after="180"/>
        <w:jc w:val="both"/>
        <w:rPr>
          <w:lang w:val="ro-RO" w:eastAsia="ro-MD"/>
        </w:rPr>
      </w:pPr>
      <w:r>
        <w:rPr>
          <w:lang w:val="ro-RO" w:eastAsia="ro-MD"/>
        </w:rPr>
        <w:t>„</w:t>
      </w:r>
      <w:bookmarkStart w:id="22" w:name="_Hlk184918405"/>
      <w:r w:rsidRPr="00122861">
        <w:rPr>
          <w:b/>
          <w:bCs/>
          <w:lang w:val="ro-RO" w:eastAsia="ro-MD"/>
        </w:rPr>
        <w:t>72.</w:t>
      </w:r>
      <w:r w:rsidRPr="00122861">
        <w:rPr>
          <w:lang w:val="ro-RO" w:eastAsia="ro-MD"/>
        </w:rPr>
        <w:t xml:space="preserve"> Banca nu va efectua transferul de fonduri dacă nu este asigurată respectarea deplină a </w:t>
      </w:r>
      <w:r w:rsidR="00D3751A" w:rsidRPr="00122861">
        <w:rPr>
          <w:lang w:val="ro-RO" w:eastAsia="ro-MD"/>
        </w:rPr>
        <w:t>cerințelor</w:t>
      </w:r>
      <w:r w:rsidRPr="00122861">
        <w:rPr>
          <w:lang w:val="ro-RO" w:eastAsia="ro-MD"/>
        </w:rPr>
        <w:t xml:space="preserve"> pct. 66-71</w:t>
      </w:r>
      <w:r w:rsidRPr="00122861">
        <w:rPr>
          <w:vertAlign w:val="superscript"/>
          <w:lang w:val="ro-RO" w:eastAsia="ro-MD"/>
        </w:rPr>
        <w:t>1</w:t>
      </w:r>
      <w:r w:rsidRPr="00122861">
        <w:rPr>
          <w:lang w:val="ro-RO" w:eastAsia="ro-MD"/>
        </w:rPr>
        <w:t>.</w:t>
      </w:r>
    </w:p>
    <w:p w14:paraId="5918A9A0" w14:textId="6F1DF6A8" w:rsidR="00122861" w:rsidRPr="00122861" w:rsidRDefault="00122861" w:rsidP="00122861">
      <w:pPr>
        <w:widowControl w:val="0"/>
        <w:spacing w:after="180"/>
        <w:jc w:val="both"/>
        <w:rPr>
          <w:lang w:val="ro-MD" w:eastAsia="ro-MD"/>
        </w:rPr>
      </w:pPr>
      <w:bookmarkStart w:id="23" w:name="_Hlk185938850"/>
      <w:r w:rsidRPr="00122861">
        <w:rPr>
          <w:b/>
          <w:bCs/>
          <w:lang w:val="ro-RO" w:eastAsia="ro-MD"/>
        </w:rPr>
        <w:t>73.</w:t>
      </w:r>
      <w:r w:rsidRPr="00122861">
        <w:rPr>
          <w:lang w:val="ro-RO" w:eastAsia="ro-MD"/>
        </w:rPr>
        <w:t xml:space="preserve"> Banca instituie și aplică proceduri eficace, inclusiv, acolo unde este cazul, controlul după efectuarea transferurilor sau controlul în cursul efectuării acestora, pentru a depista dacă câmpurile referitoare la informațiile privind plătitorul </w:t>
      </w:r>
      <w:proofErr w:type="spellStart"/>
      <w:r w:rsidRPr="00122861">
        <w:rPr>
          <w:lang w:val="ro-RO" w:eastAsia="ro-MD"/>
        </w:rPr>
        <w:t>şi</w:t>
      </w:r>
      <w:proofErr w:type="spellEnd"/>
      <w:r w:rsidRPr="00122861">
        <w:rPr>
          <w:lang w:val="ro-RO" w:eastAsia="ro-MD"/>
        </w:rPr>
        <w:t xml:space="preserve"> beneficiarul </w:t>
      </w:r>
      <w:proofErr w:type="spellStart"/>
      <w:r w:rsidRPr="00122861">
        <w:rPr>
          <w:lang w:val="ro-RO" w:eastAsia="ro-MD"/>
        </w:rPr>
        <w:t>plăţii</w:t>
      </w:r>
      <w:proofErr w:type="spellEnd"/>
      <w:r w:rsidRPr="00122861">
        <w:rPr>
          <w:lang w:val="ro-RO" w:eastAsia="ro-MD"/>
        </w:rPr>
        <w:t xml:space="preserve"> din sistemul de mesagerie sau de plată </w:t>
      </w:r>
      <w:proofErr w:type="spellStart"/>
      <w:r w:rsidRPr="00122861">
        <w:rPr>
          <w:lang w:val="ro-RO" w:eastAsia="ro-MD"/>
        </w:rPr>
        <w:t>şi</w:t>
      </w:r>
      <w:proofErr w:type="spellEnd"/>
      <w:r w:rsidRPr="00122861">
        <w:rPr>
          <w:lang w:val="ro-RO" w:eastAsia="ro-MD"/>
        </w:rPr>
        <w:t xml:space="preserve"> decontare utilizat pentru efectuarea transferului de fonduri au fost completate folosind caractere sau elemente compatibile în conformitate cu convențiile sistemului respectiv și în corespundere cu cerințele </w:t>
      </w:r>
      <w:bookmarkStart w:id="24" w:name="_Hlk184918860"/>
      <w:r w:rsidRPr="00122861">
        <w:rPr>
          <w:lang w:val="ro-RO" w:eastAsia="ro-MD"/>
        </w:rPr>
        <w:t xml:space="preserve">pct.66 </w:t>
      </w:r>
      <w:proofErr w:type="spellStart"/>
      <w:r w:rsidRPr="00122861">
        <w:rPr>
          <w:lang w:val="ro-RO" w:eastAsia="ro-MD"/>
        </w:rPr>
        <w:t>subpct</w:t>
      </w:r>
      <w:proofErr w:type="spellEnd"/>
      <w:r w:rsidRPr="00122861">
        <w:rPr>
          <w:lang w:val="ro-RO" w:eastAsia="ro-MD"/>
        </w:rPr>
        <w:t xml:space="preserve">. 1)-3), 67 </w:t>
      </w:r>
      <w:proofErr w:type="spellStart"/>
      <w:r w:rsidRPr="00122861">
        <w:rPr>
          <w:lang w:val="ro-RO" w:eastAsia="ro-MD"/>
        </w:rPr>
        <w:t>subpct</w:t>
      </w:r>
      <w:proofErr w:type="spellEnd"/>
      <w:r w:rsidRPr="00122861">
        <w:rPr>
          <w:lang w:val="ro-RO" w:eastAsia="ro-MD"/>
        </w:rPr>
        <w:t>. 1)-2), 68, 70, 71 și 71</w:t>
      </w:r>
      <w:r w:rsidRPr="00122861">
        <w:rPr>
          <w:vertAlign w:val="superscript"/>
          <w:lang w:val="ro-RO" w:eastAsia="ro-MD"/>
        </w:rPr>
        <w:t>1</w:t>
      </w:r>
      <w:r w:rsidRPr="00122861">
        <w:rPr>
          <w:lang w:val="ro-RO" w:eastAsia="ro-MD"/>
        </w:rPr>
        <w:t>.</w:t>
      </w:r>
      <w:bookmarkEnd w:id="23"/>
      <w:bookmarkEnd w:id="24"/>
    </w:p>
    <w:p w14:paraId="22304315" w14:textId="7A3A9145" w:rsidR="00122861" w:rsidRPr="00122861" w:rsidRDefault="00122861" w:rsidP="00122861">
      <w:pPr>
        <w:widowControl w:val="0"/>
        <w:spacing w:after="180"/>
        <w:jc w:val="both"/>
        <w:rPr>
          <w:lang w:val="ro-RO" w:eastAsia="ro-MD"/>
        </w:rPr>
      </w:pPr>
      <w:bookmarkStart w:id="25" w:name="_Hlk185939436"/>
      <w:r w:rsidRPr="00122861">
        <w:rPr>
          <w:b/>
          <w:bCs/>
          <w:lang w:val="ro-RO" w:eastAsia="ro-MD"/>
        </w:rPr>
        <w:t>74.</w:t>
      </w:r>
      <w:r w:rsidRPr="00122861">
        <w:rPr>
          <w:lang w:val="ro-RO" w:eastAsia="ro-MD"/>
        </w:rPr>
        <w:t xml:space="preserve"> În cazul transferurilor de fonduri în valoare ce depășește echivalentul a 20000 lei, indiferent dacă transferurile respective sunt efectuate printr-o singură tranzacție sau mai multe tranzacții care par a avea o legătură între ele, banca, înainte de înregistrarea transferului de fonduri în contul beneficiarului </w:t>
      </w:r>
      <w:proofErr w:type="spellStart"/>
      <w:r w:rsidRPr="00122861">
        <w:rPr>
          <w:lang w:val="ro-RO" w:eastAsia="ro-MD"/>
        </w:rPr>
        <w:t>plăţii</w:t>
      </w:r>
      <w:proofErr w:type="spellEnd"/>
      <w:r w:rsidRPr="00122861">
        <w:rPr>
          <w:lang w:val="ro-RO" w:eastAsia="ro-MD"/>
        </w:rPr>
        <w:t xml:space="preserve"> sau de a pune fondurile la </w:t>
      </w:r>
      <w:proofErr w:type="spellStart"/>
      <w:r w:rsidRPr="00122861">
        <w:rPr>
          <w:lang w:val="ro-RO" w:eastAsia="ro-MD"/>
        </w:rPr>
        <w:t>dispoziţia</w:t>
      </w:r>
      <w:proofErr w:type="spellEnd"/>
      <w:r w:rsidRPr="00122861">
        <w:rPr>
          <w:lang w:val="ro-RO" w:eastAsia="ro-MD"/>
        </w:rPr>
        <w:t xml:space="preserve"> acestuia, verifică plenitudinea </w:t>
      </w:r>
      <w:proofErr w:type="spellStart"/>
      <w:r w:rsidRPr="00122861">
        <w:rPr>
          <w:lang w:val="ro-RO" w:eastAsia="ro-MD"/>
        </w:rPr>
        <w:t>şi</w:t>
      </w:r>
      <w:proofErr w:type="spellEnd"/>
      <w:r w:rsidRPr="00122861">
        <w:rPr>
          <w:lang w:val="ro-RO" w:eastAsia="ro-MD"/>
        </w:rPr>
        <w:t xml:space="preserve"> exactitatea </w:t>
      </w:r>
      <w:proofErr w:type="spellStart"/>
      <w:r w:rsidRPr="00122861">
        <w:rPr>
          <w:lang w:val="ro-RO" w:eastAsia="ro-MD"/>
        </w:rPr>
        <w:t>informaţiilor</w:t>
      </w:r>
      <w:proofErr w:type="spellEnd"/>
      <w:r w:rsidRPr="00122861">
        <w:rPr>
          <w:lang w:val="ro-RO" w:eastAsia="ro-MD"/>
        </w:rPr>
        <w:t xml:space="preserve"> privind beneficiarul plății </w:t>
      </w:r>
      <w:proofErr w:type="spellStart"/>
      <w:r w:rsidRPr="00122861">
        <w:rPr>
          <w:lang w:val="ro-RO" w:eastAsia="ro-MD"/>
        </w:rPr>
        <w:t>menţionate</w:t>
      </w:r>
      <w:proofErr w:type="spellEnd"/>
      <w:r w:rsidRPr="00122861">
        <w:rPr>
          <w:lang w:val="ro-RO" w:eastAsia="ro-MD"/>
        </w:rPr>
        <w:t xml:space="preserve"> </w:t>
      </w:r>
      <w:bookmarkStart w:id="26" w:name="_Hlk184919066"/>
      <w:r w:rsidRPr="00122861">
        <w:rPr>
          <w:lang w:val="ro-RO" w:eastAsia="ro-MD"/>
        </w:rPr>
        <w:t xml:space="preserve">la pct.67 </w:t>
      </w:r>
      <w:proofErr w:type="spellStart"/>
      <w:r w:rsidRPr="00122861">
        <w:rPr>
          <w:lang w:val="ro-RO" w:eastAsia="ro-MD"/>
        </w:rPr>
        <w:t>subpct</w:t>
      </w:r>
      <w:proofErr w:type="spellEnd"/>
      <w:r w:rsidRPr="00122861">
        <w:rPr>
          <w:lang w:val="ro-RO" w:eastAsia="ro-MD"/>
        </w:rPr>
        <w:t xml:space="preserve"> 1)-2), 68, 70, 71 și 71</w:t>
      </w:r>
      <w:r w:rsidRPr="00122861">
        <w:rPr>
          <w:vertAlign w:val="superscript"/>
          <w:lang w:val="ro-RO" w:eastAsia="ro-MD"/>
        </w:rPr>
        <w:t>1</w:t>
      </w:r>
      <w:r w:rsidRPr="00122861">
        <w:rPr>
          <w:lang w:val="ro-RO" w:eastAsia="ro-MD"/>
        </w:rPr>
        <w:t xml:space="preserve"> </w:t>
      </w:r>
      <w:bookmarkEnd w:id="26"/>
      <w:r w:rsidRPr="00122861">
        <w:rPr>
          <w:lang w:val="ro-RO" w:eastAsia="ro-MD"/>
        </w:rPr>
        <w:t xml:space="preserve">pe baza documentelor, a datelor sau a </w:t>
      </w:r>
      <w:proofErr w:type="spellStart"/>
      <w:r w:rsidRPr="00122861">
        <w:rPr>
          <w:lang w:val="ro-RO" w:eastAsia="ro-MD"/>
        </w:rPr>
        <w:t>informaţiilor</w:t>
      </w:r>
      <w:proofErr w:type="spellEnd"/>
      <w:r w:rsidRPr="00122861">
        <w:rPr>
          <w:lang w:val="ro-RO" w:eastAsia="ro-MD"/>
        </w:rPr>
        <w:t xml:space="preserve"> </w:t>
      </w:r>
      <w:proofErr w:type="spellStart"/>
      <w:r w:rsidRPr="00122861">
        <w:rPr>
          <w:lang w:val="ro-RO" w:eastAsia="ro-MD"/>
        </w:rPr>
        <w:t>obţinute</w:t>
      </w:r>
      <w:proofErr w:type="spellEnd"/>
      <w:r w:rsidRPr="00122861">
        <w:rPr>
          <w:lang w:val="ro-RO" w:eastAsia="ro-MD"/>
        </w:rPr>
        <w:t xml:space="preserve"> dintr-o sursă credibilă </w:t>
      </w:r>
      <w:proofErr w:type="spellStart"/>
      <w:r w:rsidRPr="00122861">
        <w:rPr>
          <w:lang w:val="ro-RO" w:eastAsia="ro-MD"/>
        </w:rPr>
        <w:t>şi</w:t>
      </w:r>
      <w:proofErr w:type="spellEnd"/>
      <w:r w:rsidRPr="00122861">
        <w:rPr>
          <w:lang w:val="ro-RO" w:eastAsia="ro-MD"/>
        </w:rPr>
        <w:t xml:space="preserve"> independentă, </w:t>
      </w:r>
      <w:proofErr w:type="spellStart"/>
      <w:r w:rsidRPr="00122861">
        <w:rPr>
          <w:lang w:val="ro-RO" w:eastAsia="ro-MD"/>
        </w:rPr>
        <w:t>ţinând</w:t>
      </w:r>
      <w:proofErr w:type="spellEnd"/>
      <w:r w:rsidRPr="00122861">
        <w:rPr>
          <w:lang w:val="ro-RO" w:eastAsia="ro-MD"/>
        </w:rPr>
        <w:t xml:space="preserve"> cont de prevederile prezentului Regulament.</w:t>
      </w:r>
    </w:p>
    <w:p w14:paraId="308A3BF2" w14:textId="00C99B32" w:rsidR="00122861" w:rsidRPr="00122861" w:rsidRDefault="00122861" w:rsidP="00122861">
      <w:pPr>
        <w:widowControl w:val="0"/>
        <w:spacing w:after="180"/>
        <w:jc w:val="both"/>
        <w:rPr>
          <w:lang w:val="ro-RO" w:eastAsia="ro-MD"/>
        </w:rPr>
      </w:pPr>
      <w:bookmarkStart w:id="27" w:name="_Hlk185940165"/>
      <w:bookmarkEnd w:id="25"/>
      <w:r w:rsidRPr="00122861">
        <w:rPr>
          <w:b/>
          <w:bCs/>
          <w:lang w:val="ro-RO" w:eastAsia="ro-MD"/>
        </w:rPr>
        <w:t>75.</w:t>
      </w:r>
      <w:r w:rsidRPr="00122861">
        <w:rPr>
          <w:lang w:val="ro-RO" w:eastAsia="ro-MD"/>
        </w:rPr>
        <w:t xml:space="preserve"> În cazul transferurilor de fonduri care nu depășesc limita stabilită la pct. 74, banca verifică plenitudinea </w:t>
      </w:r>
      <w:r w:rsidR="009A0942" w:rsidRPr="00122861">
        <w:rPr>
          <w:lang w:val="ro-RO" w:eastAsia="ro-MD"/>
        </w:rPr>
        <w:t>și</w:t>
      </w:r>
      <w:r w:rsidRPr="00122861">
        <w:rPr>
          <w:lang w:val="ro-RO" w:eastAsia="ro-MD"/>
        </w:rPr>
        <w:t xml:space="preserve"> exactitatea </w:t>
      </w:r>
      <w:r w:rsidR="009A0942" w:rsidRPr="00122861">
        <w:rPr>
          <w:lang w:val="ro-RO" w:eastAsia="ro-MD"/>
        </w:rPr>
        <w:t>informațiilor</w:t>
      </w:r>
      <w:r w:rsidRPr="00122861">
        <w:rPr>
          <w:lang w:val="ro-RO" w:eastAsia="ro-MD"/>
        </w:rPr>
        <w:t xml:space="preserve"> referitoare la beneficiarul </w:t>
      </w:r>
      <w:r w:rsidR="009A0942" w:rsidRPr="00122861">
        <w:rPr>
          <w:lang w:val="ro-RO" w:eastAsia="ro-MD"/>
        </w:rPr>
        <w:t>plății</w:t>
      </w:r>
      <w:r w:rsidRPr="00122861">
        <w:rPr>
          <w:lang w:val="ro-RO" w:eastAsia="ro-MD"/>
        </w:rPr>
        <w:t xml:space="preserve"> menționate la pct. 74 doar în următoarele </w:t>
      </w:r>
      <w:r w:rsidR="009A0942" w:rsidRPr="00122861">
        <w:rPr>
          <w:lang w:val="ro-RO" w:eastAsia="ro-MD"/>
        </w:rPr>
        <w:t>situații</w:t>
      </w:r>
      <w:r w:rsidRPr="00122861">
        <w:rPr>
          <w:lang w:val="ro-RO" w:eastAsia="ro-MD"/>
        </w:rPr>
        <w:t>:</w:t>
      </w:r>
    </w:p>
    <w:p w14:paraId="422A790C" w14:textId="77777777" w:rsidR="00122861" w:rsidRPr="00122861" w:rsidRDefault="00122861" w:rsidP="00122861">
      <w:pPr>
        <w:widowControl w:val="0"/>
        <w:jc w:val="both"/>
        <w:rPr>
          <w:lang w:val="ro-RO" w:eastAsia="ro-MD"/>
        </w:rPr>
      </w:pPr>
      <w:r w:rsidRPr="00122861">
        <w:rPr>
          <w:lang w:val="ro-RO" w:eastAsia="ro-MD"/>
        </w:rPr>
        <w:t xml:space="preserve">1) când plata este efectuată în numerar sau în monedă electronică anonimă; sau </w:t>
      </w:r>
    </w:p>
    <w:p w14:paraId="72729BCC" w14:textId="5EBB2226" w:rsidR="00122861" w:rsidRDefault="00122861" w:rsidP="00122861">
      <w:pPr>
        <w:widowControl w:val="0"/>
        <w:spacing w:after="180"/>
        <w:jc w:val="both"/>
        <w:rPr>
          <w:lang w:val="ro-RO" w:eastAsia="ro-MD"/>
        </w:rPr>
      </w:pPr>
      <w:r w:rsidRPr="00122861">
        <w:rPr>
          <w:lang w:val="ro-RO" w:eastAsia="ro-MD"/>
        </w:rPr>
        <w:t xml:space="preserve">2) când există motive întemeiate pentru a suspecta că există o activitate de spălare a banilor sau de </w:t>
      </w:r>
      <w:r w:rsidR="009A0942" w:rsidRPr="00122861">
        <w:rPr>
          <w:lang w:val="ro-RO" w:eastAsia="ro-MD"/>
        </w:rPr>
        <w:t>finanțare</w:t>
      </w:r>
      <w:r w:rsidRPr="00122861">
        <w:rPr>
          <w:lang w:val="ro-RO" w:eastAsia="ro-MD"/>
        </w:rPr>
        <w:t xml:space="preserve"> a terorismului.</w:t>
      </w:r>
      <w:r w:rsidR="009A0942">
        <w:rPr>
          <w:lang w:val="ro-RO" w:eastAsia="ro-MD"/>
        </w:rPr>
        <w:t>”.</w:t>
      </w:r>
    </w:p>
    <w:p w14:paraId="729C7509" w14:textId="0568B966" w:rsidR="009A0942" w:rsidRDefault="009A0942" w:rsidP="009A0942">
      <w:pPr>
        <w:widowControl w:val="0"/>
        <w:spacing w:after="180"/>
        <w:ind w:firstLine="284"/>
        <w:jc w:val="both"/>
        <w:rPr>
          <w:lang w:val="ro-RO" w:eastAsia="ro-MD"/>
        </w:rPr>
      </w:pPr>
      <w:r>
        <w:rPr>
          <w:lang w:val="ro-RO" w:eastAsia="ro-MD"/>
        </w:rPr>
        <w:t>13)</w:t>
      </w:r>
      <w:r>
        <w:rPr>
          <w:lang w:val="ro-RO" w:eastAsia="ro-MD"/>
        </w:rPr>
        <w:tab/>
      </w:r>
      <w:r w:rsidRPr="009A0942">
        <w:rPr>
          <w:lang w:val="ro-RO" w:eastAsia="ro-MD"/>
        </w:rPr>
        <w:t>Se completează cu punctul 7</w:t>
      </w:r>
      <w:r>
        <w:rPr>
          <w:lang w:val="ro-RO" w:eastAsia="ro-MD"/>
        </w:rPr>
        <w:t>5</w:t>
      </w:r>
      <w:r w:rsidRPr="009A0942">
        <w:rPr>
          <w:vertAlign w:val="superscript"/>
          <w:lang w:val="ro-RO" w:eastAsia="ro-MD"/>
        </w:rPr>
        <w:t>1</w:t>
      </w:r>
      <w:r w:rsidRPr="009A0942">
        <w:rPr>
          <w:lang w:val="ro-RO" w:eastAsia="ro-MD"/>
        </w:rPr>
        <w:t xml:space="preserve"> cu următorul cuprins:</w:t>
      </w:r>
    </w:p>
    <w:p w14:paraId="3100C504" w14:textId="77777777" w:rsidR="009A0942" w:rsidRDefault="009A0942" w:rsidP="009A0942">
      <w:pPr>
        <w:widowControl w:val="0"/>
        <w:spacing w:after="180"/>
        <w:jc w:val="both"/>
        <w:rPr>
          <w:lang w:val="ro-RO" w:eastAsia="ro-MD"/>
        </w:rPr>
      </w:pPr>
      <w:r w:rsidRPr="009A0942">
        <w:rPr>
          <w:lang w:val="ro-RO" w:eastAsia="ro-MD"/>
        </w:rPr>
        <w:t>„</w:t>
      </w:r>
      <w:bookmarkStart w:id="28" w:name="_Hlk185940766"/>
      <w:r w:rsidRPr="009A0942">
        <w:rPr>
          <w:b/>
          <w:bCs/>
          <w:lang w:val="ro-RO" w:eastAsia="ro-MD"/>
        </w:rPr>
        <w:t>75</w:t>
      </w:r>
      <w:r w:rsidRPr="009A0942">
        <w:rPr>
          <w:b/>
          <w:bCs/>
          <w:vertAlign w:val="superscript"/>
          <w:lang w:val="ro-RO" w:eastAsia="ro-MD"/>
        </w:rPr>
        <w:t>1</w:t>
      </w:r>
      <w:r w:rsidRPr="009A0942">
        <w:rPr>
          <w:lang w:val="ro-RO" w:eastAsia="ro-MD"/>
        </w:rPr>
        <w:t>. Obligația de verificare a plenitudinii și exactității informațiilor privind beneficiarul plății menționată la pct. 74 și 75 se consideră a fi îndeplinită dacă banca aplică măsuri de precauție pentru verificarea identității beneficiarului plății, actualizează și păstrează informația privind beneficiarul plății în conformitate cu prevederile Cap. V-VII și X din prezentul Regulament.</w:t>
      </w:r>
      <w:r>
        <w:rPr>
          <w:lang w:val="ro-RO" w:eastAsia="ro-MD"/>
        </w:rPr>
        <w:t>”.</w:t>
      </w:r>
    </w:p>
    <w:p w14:paraId="1B70069C" w14:textId="2DE6C224" w:rsidR="009A0942" w:rsidRPr="009A0942" w:rsidRDefault="009A0942" w:rsidP="009A0942">
      <w:pPr>
        <w:widowControl w:val="0"/>
        <w:spacing w:after="180"/>
        <w:ind w:firstLine="284"/>
        <w:jc w:val="both"/>
        <w:rPr>
          <w:lang w:val="ro-RO" w:eastAsia="ro-MD"/>
        </w:rPr>
      </w:pPr>
      <w:r>
        <w:rPr>
          <w:lang w:val="ro-RO" w:eastAsia="ro-MD"/>
        </w:rPr>
        <w:t>14)</w:t>
      </w:r>
      <w:r>
        <w:rPr>
          <w:lang w:val="ro-RO" w:eastAsia="ro-MD"/>
        </w:rPr>
        <w:tab/>
      </w:r>
      <w:bookmarkStart w:id="29" w:name="_Hlk186190551"/>
      <w:bookmarkEnd w:id="28"/>
      <w:r w:rsidRPr="009A0942">
        <w:rPr>
          <w:lang w:val="ro-RO" w:eastAsia="ro-MD"/>
        </w:rPr>
        <w:t>Pct. 7</w:t>
      </w:r>
      <w:r>
        <w:rPr>
          <w:lang w:val="ro-RO" w:eastAsia="ro-MD"/>
        </w:rPr>
        <w:t>6</w:t>
      </w:r>
      <w:r w:rsidRPr="009A0942">
        <w:rPr>
          <w:lang w:val="ro-RO" w:eastAsia="ro-MD"/>
        </w:rPr>
        <w:t>-7</w:t>
      </w:r>
      <w:r>
        <w:rPr>
          <w:lang w:val="ro-RO" w:eastAsia="ro-MD"/>
        </w:rPr>
        <w:t>9</w:t>
      </w:r>
      <w:r w:rsidRPr="009A0942">
        <w:rPr>
          <w:lang w:val="ro-RO" w:eastAsia="ro-MD"/>
        </w:rPr>
        <w:t xml:space="preserve"> vor avea următorul cuprins:</w:t>
      </w:r>
      <w:bookmarkEnd w:id="29"/>
    </w:p>
    <w:p w14:paraId="280FA1C6" w14:textId="77777777" w:rsidR="009A0942" w:rsidRDefault="009A0942" w:rsidP="009A0942">
      <w:pPr>
        <w:widowControl w:val="0"/>
        <w:spacing w:after="180"/>
        <w:jc w:val="both"/>
        <w:rPr>
          <w:lang w:val="ro-RO" w:eastAsia="ro-MD"/>
        </w:rPr>
      </w:pPr>
      <w:r>
        <w:rPr>
          <w:lang w:val="ro-RO" w:eastAsia="ro-MD"/>
        </w:rPr>
        <w:t>„</w:t>
      </w:r>
      <w:bookmarkStart w:id="30" w:name="_Hlk184734009"/>
      <w:r w:rsidRPr="009A0942">
        <w:rPr>
          <w:b/>
          <w:bCs/>
          <w:lang w:val="ro-RO" w:eastAsia="ro-MD"/>
        </w:rPr>
        <w:t>76.</w:t>
      </w:r>
      <w:r w:rsidRPr="009A0942">
        <w:rPr>
          <w:lang w:val="ro-RO" w:eastAsia="ro-MD"/>
        </w:rPr>
        <w:t xml:space="preserve"> Banca pune în aplicare proceduri eficace bazate pe riscuri, inclusiv procedurile în funcție de riscul asociat privind măsurile de precauție privind clienții prevăzute la pct. 12, pentru a determina dacă să execute, să respingă sau să suspende un transfer de fonduri în cazul în care </w:t>
      </w:r>
      <w:proofErr w:type="spellStart"/>
      <w:r w:rsidRPr="009A0942">
        <w:rPr>
          <w:lang w:val="ro-RO" w:eastAsia="ro-MD"/>
        </w:rPr>
        <w:t>informaţiile</w:t>
      </w:r>
      <w:proofErr w:type="spellEnd"/>
      <w:r w:rsidRPr="009A0942">
        <w:rPr>
          <w:lang w:val="ro-RO" w:eastAsia="ro-MD"/>
        </w:rPr>
        <w:t xml:space="preserve"> complete privind plătitorul </w:t>
      </w:r>
      <w:proofErr w:type="spellStart"/>
      <w:r w:rsidRPr="009A0942">
        <w:rPr>
          <w:lang w:val="ro-RO" w:eastAsia="ro-MD"/>
        </w:rPr>
        <w:t>şi</w:t>
      </w:r>
      <w:proofErr w:type="spellEnd"/>
      <w:r w:rsidRPr="009A0942">
        <w:rPr>
          <w:lang w:val="ro-RO" w:eastAsia="ro-MD"/>
        </w:rPr>
        <w:t xml:space="preserve"> beneficiarul </w:t>
      </w:r>
      <w:proofErr w:type="spellStart"/>
      <w:r w:rsidRPr="009A0942">
        <w:rPr>
          <w:lang w:val="ro-RO" w:eastAsia="ro-MD"/>
        </w:rPr>
        <w:t>plăţii</w:t>
      </w:r>
      <w:proofErr w:type="spellEnd"/>
      <w:r w:rsidRPr="009A0942">
        <w:rPr>
          <w:lang w:val="ro-RO" w:eastAsia="ro-MD"/>
        </w:rPr>
        <w:t xml:space="preserve"> lipsesc și pentru a lua măsurile ulterioare adecvate. Banca ia în considerare aplicarea acestor proceduri </w:t>
      </w:r>
      <w:proofErr w:type="spellStart"/>
      <w:r w:rsidRPr="009A0942">
        <w:rPr>
          <w:lang w:val="ro-RO" w:eastAsia="ro-MD"/>
        </w:rPr>
        <w:t>şi</w:t>
      </w:r>
      <w:proofErr w:type="spellEnd"/>
      <w:r w:rsidRPr="009A0942">
        <w:rPr>
          <w:lang w:val="ro-RO" w:eastAsia="ro-MD"/>
        </w:rPr>
        <w:t xml:space="preserve"> în cazul în care nu este completat câmpul "</w:t>
      </w:r>
      <w:proofErr w:type="spellStart"/>
      <w:r w:rsidRPr="009A0942">
        <w:rPr>
          <w:lang w:val="ro-RO" w:eastAsia="ro-MD"/>
        </w:rPr>
        <w:t>destinaţii</w:t>
      </w:r>
      <w:proofErr w:type="spellEnd"/>
      <w:r w:rsidRPr="009A0942">
        <w:rPr>
          <w:lang w:val="ro-RO" w:eastAsia="ro-MD"/>
        </w:rPr>
        <w:t xml:space="preserve"> </w:t>
      </w:r>
      <w:proofErr w:type="spellStart"/>
      <w:r w:rsidRPr="009A0942">
        <w:rPr>
          <w:lang w:val="ro-RO" w:eastAsia="ro-MD"/>
        </w:rPr>
        <w:t>plăţii</w:t>
      </w:r>
      <w:proofErr w:type="spellEnd"/>
      <w:r w:rsidRPr="009A0942">
        <w:rPr>
          <w:lang w:val="ro-RO" w:eastAsia="ro-MD"/>
        </w:rPr>
        <w:t>/transferului".</w:t>
      </w:r>
      <w:bookmarkStart w:id="31" w:name="_Hlk184737664"/>
      <w:bookmarkEnd w:id="30"/>
    </w:p>
    <w:p w14:paraId="6D32C7B5" w14:textId="77777777" w:rsidR="009A0942" w:rsidRDefault="009A0942" w:rsidP="009A0942">
      <w:pPr>
        <w:widowControl w:val="0"/>
        <w:spacing w:after="180"/>
        <w:jc w:val="both"/>
        <w:rPr>
          <w:lang w:val="ro-RO" w:eastAsia="ro-MD"/>
        </w:rPr>
      </w:pPr>
      <w:r w:rsidRPr="009A0942">
        <w:rPr>
          <w:b/>
          <w:bCs/>
          <w:lang w:val="ro-RO" w:eastAsia="ro-MD"/>
        </w:rPr>
        <w:t>77.</w:t>
      </w:r>
      <w:r w:rsidRPr="009A0942">
        <w:rPr>
          <w:lang w:val="ro-RO" w:eastAsia="ro-MD"/>
        </w:rPr>
        <w:t xml:space="preserve"> Banca, dacă constată că la primirea transferului de fonduri, </w:t>
      </w:r>
      <w:proofErr w:type="spellStart"/>
      <w:r w:rsidRPr="009A0942">
        <w:rPr>
          <w:lang w:val="ro-RO" w:eastAsia="ro-MD"/>
        </w:rPr>
        <w:t>informaţiile</w:t>
      </w:r>
      <w:proofErr w:type="spellEnd"/>
      <w:r w:rsidRPr="009A0942">
        <w:rPr>
          <w:lang w:val="ro-RO" w:eastAsia="ro-MD"/>
        </w:rPr>
        <w:t xml:space="preserve"> </w:t>
      </w:r>
      <w:proofErr w:type="spellStart"/>
      <w:r w:rsidRPr="009A0942">
        <w:rPr>
          <w:lang w:val="ro-RO" w:eastAsia="ro-MD"/>
        </w:rPr>
        <w:t>menţionate</w:t>
      </w:r>
      <w:proofErr w:type="spellEnd"/>
      <w:r w:rsidRPr="009A0942">
        <w:rPr>
          <w:lang w:val="ro-RO" w:eastAsia="ro-MD"/>
        </w:rPr>
        <w:t xml:space="preserve"> la pct.66 </w:t>
      </w:r>
      <w:proofErr w:type="spellStart"/>
      <w:r w:rsidRPr="009A0942">
        <w:rPr>
          <w:lang w:val="ro-RO" w:eastAsia="ro-MD"/>
        </w:rPr>
        <w:t>subpct</w:t>
      </w:r>
      <w:proofErr w:type="spellEnd"/>
      <w:r w:rsidRPr="009A0942">
        <w:rPr>
          <w:lang w:val="ro-RO" w:eastAsia="ro-MD"/>
        </w:rPr>
        <w:t xml:space="preserve">. 1)-3), 67 </w:t>
      </w:r>
      <w:proofErr w:type="spellStart"/>
      <w:r w:rsidRPr="009A0942">
        <w:rPr>
          <w:lang w:val="ro-RO" w:eastAsia="ro-MD"/>
        </w:rPr>
        <w:t>subpct</w:t>
      </w:r>
      <w:proofErr w:type="spellEnd"/>
      <w:r w:rsidRPr="009A0942">
        <w:rPr>
          <w:lang w:val="ro-RO" w:eastAsia="ro-MD"/>
        </w:rPr>
        <w:t xml:space="preserve"> 1)-2), 68, 70, 71 și 71</w:t>
      </w:r>
      <w:r w:rsidRPr="009A0942">
        <w:rPr>
          <w:vertAlign w:val="superscript"/>
          <w:lang w:val="ro-RO" w:eastAsia="ro-MD"/>
        </w:rPr>
        <w:t>1</w:t>
      </w:r>
      <w:r w:rsidRPr="009A0942">
        <w:rPr>
          <w:lang w:val="ro-RO" w:eastAsia="ro-MD"/>
        </w:rPr>
        <w:t xml:space="preserve"> lipsesc sau sunt incomplete, ori nu au fost completate folosind caractere sau elemente compatibile în conformitate cu convențiile sistemului de mesagerie sau de plată și decontare, astfel cum este menționat la pct. 73, respinge transferul sau solicită </w:t>
      </w:r>
      <w:proofErr w:type="spellStart"/>
      <w:r w:rsidRPr="009A0942">
        <w:rPr>
          <w:lang w:val="ro-RO" w:eastAsia="ro-MD"/>
        </w:rPr>
        <w:t>informaţiile</w:t>
      </w:r>
      <w:proofErr w:type="spellEnd"/>
      <w:r w:rsidRPr="009A0942">
        <w:rPr>
          <w:lang w:val="ro-RO" w:eastAsia="ro-MD"/>
        </w:rPr>
        <w:t xml:space="preserve"> cerute privind plătitorul </w:t>
      </w:r>
      <w:proofErr w:type="spellStart"/>
      <w:r w:rsidRPr="009A0942">
        <w:rPr>
          <w:lang w:val="ro-RO" w:eastAsia="ro-MD"/>
        </w:rPr>
        <w:t>şi</w:t>
      </w:r>
      <w:proofErr w:type="spellEnd"/>
      <w:r w:rsidRPr="009A0942">
        <w:rPr>
          <w:lang w:val="ro-RO" w:eastAsia="ro-MD"/>
        </w:rPr>
        <w:t xml:space="preserve"> beneficiarul </w:t>
      </w:r>
      <w:proofErr w:type="spellStart"/>
      <w:r w:rsidRPr="009A0942">
        <w:rPr>
          <w:lang w:val="ro-RO" w:eastAsia="ro-MD"/>
        </w:rPr>
        <w:t>plăţii</w:t>
      </w:r>
      <w:proofErr w:type="spellEnd"/>
      <w:r w:rsidRPr="009A0942">
        <w:rPr>
          <w:lang w:val="ro-RO" w:eastAsia="ro-MD"/>
        </w:rPr>
        <w:t xml:space="preserve">, înainte sau după înregistrarea transferului de fonduri în contul beneficiarului </w:t>
      </w:r>
      <w:proofErr w:type="spellStart"/>
      <w:r w:rsidRPr="009A0942">
        <w:rPr>
          <w:lang w:val="ro-RO" w:eastAsia="ro-MD"/>
        </w:rPr>
        <w:t>plăţii</w:t>
      </w:r>
      <w:proofErr w:type="spellEnd"/>
      <w:r w:rsidRPr="009A0942">
        <w:rPr>
          <w:lang w:val="ro-RO" w:eastAsia="ro-MD"/>
        </w:rPr>
        <w:t xml:space="preserve"> sau punerea fondurilor la </w:t>
      </w:r>
      <w:proofErr w:type="spellStart"/>
      <w:r w:rsidRPr="009A0942">
        <w:rPr>
          <w:lang w:val="ro-RO" w:eastAsia="ro-MD"/>
        </w:rPr>
        <w:t>dispoziţia</w:t>
      </w:r>
      <w:proofErr w:type="spellEnd"/>
      <w:r w:rsidRPr="009A0942">
        <w:rPr>
          <w:lang w:val="ro-RO" w:eastAsia="ro-MD"/>
        </w:rPr>
        <w:t xml:space="preserve"> acestuia, în </w:t>
      </w:r>
      <w:proofErr w:type="spellStart"/>
      <w:r w:rsidRPr="009A0942">
        <w:rPr>
          <w:lang w:val="ro-RO" w:eastAsia="ro-MD"/>
        </w:rPr>
        <w:t>funcţie</w:t>
      </w:r>
      <w:proofErr w:type="spellEnd"/>
      <w:r w:rsidRPr="009A0942">
        <w:rPr>
          <w:lang w:val="ro-RO" w:eastAsia="ro-MD"/>
        </w:rPr>
        <w:t xml:space="preserve"> de riscul asociat.</w:t>
      </w:r>
      <w:bookmarkStart w:id="32" w:name="_Hlk184919646"/>
      <w:bookmarkEnd w:id="31"/>
    </w:p>
    <w:p w14:paraId="36181F79" w14:textId="79F64471" w:rsidR="009A0942" w:rsidRPr="009A0942" w:rsidRDefault="009A0942" w:rsidP="009A0942">
      <w:pPr>
        <w:widowControl w:val="0"/>
        <w:spacing w:after="180"/>
        <w:jc w:val="both"/>
        <w:rPr>
          <w:lang w:val="ro-RO" w:eastAsia="ro-MD"/>
        </w:rPr>
      </w:pPr>
      <w:r w:rsidRPr="009A0942">
        <w:rPr>
          <w:b/>
          <w:bCs/>
          <w:lang w:val="ro-RO" w:eastAsia="ro-MD"/>
        </w:rPr>
        <w:t>78.</w:t>
      </w:r>
      <w:r w:rsidRPr="009A0942">
        <w:rPr>
          <w:lang w:val="ro-RO" w:eastAsia="ro-MD"/>
        </w:rPr>
        <w:t xml:space="preserve"> În cazul în care prestatorul de servicii de plată care efectuează transferul omite în mod </w:t>
      </w:r>
      <w:r w:rsidRPr="009A0942">
        <w:rPr>
          <w:lang w:val="ro-RO" w:eastAsia="ro-MD"/>
        </w:rPr>
        <w:lastRenderedPageBreak/>
        <w:t xml:space="preserve">repetat să furnizeze </w:t>
      </w:r>
      <w:proofErr w:type="spellStart"/>
      <w:r w:rsidRPr="009A0942">
        <w:rPr>
          <w:lang w:val="ro-RO" w:eastAsia="ro-MD"/>
        </w:rPr>
        <w:t>informaţiile</w:t>
      </w:r>
      <w:proofErr w:type="spellEnd"/>
      <w:r w:rsidRPr="009A0942">
        <w:rPr>
          <w:lang w:val="ro-RO" w:eastAsia="ro-MD"/>
        </w:rPr>
        <w:t xml:space="preserve"> obligatorii cu privire la plătitor sau beneficiarul </w:t>
      </w:r>
      <w:proofErr w:type="spellStart"/>
      <w:r w:rsidRPr="009A0942">
        <w:rPr>
          <w:lang w:val="ro-RO" w:eastAsia="ro-MD"/>
        </w:rPr>
        <w:t>plăţii</w:t>
      </w:r>
      <w:proofErr w:type="spellEnd"/>
      <w:r w:rsidRPr="009A0942">
        <w:rPr>
          <w:lang w:val="ro-RO" w:eastAsia="ro-MD"/>
        </w:rPr>
        <w:t xml:space="preserve">, banca beneficiarului plății ia măsuri care pot consta, mai </w:t>
      </w:r>
      <w:proofErr w:type="spellStart"/>
      <w:r w:rsidRPr="009A0942">
        <w:rPr>
          <w:lang w:val="ro-RO" w:eastAsia="ro-MD"/>
        </w:rPr>
        <w:t>întîi</w:t>
      </w:r>
      <w:proofErr w:type="spellEnd"/>
      <w:r w:rsidRPr="009A0942">
        <w:rPr>
          <w:lang w:val="ro-RO" w:eastAsia="ro-MD"/>
        </w:rPr>
        <w:t xml:space="preserve">, în emiterea unor avertismente </w:t>
      </w:r>
      <w:proofErr w:type="spellStart"/>
      <w:r w:rsidRPr="009A0942">
        <w:rPr>
          <w:lang w:val="ro-RO" w:eastAsia="ro-MD"/>
        </w:rPr>
        <w:t>şi</w:t>
      </w:r>
      <w:proofErr w:type="spellEnd"/>
      <w:r w:rsidRPr="009A0942">
        <w:rPr>
          <w:lang w:val="ro-RO" w:eastAsia="ro-MD"/>
        </w:rPr>
        <w:t xml:space="preserve"> stabilirea unor termene-limită, înainte fie de a respinge orice transfer de fonduri care provine de la acesta, fie de a decide, dacă este cazul, să restrângă sau să înceteze relația comercială cu respectivul prestator. Banca beneficiarului informează Banca Națională a Moldovei despre aceste omisiuni, precum și despre măsurile întreprinse.</w:t>
      </w:r>
    </w:p>
    <w:p w14:paraId="567C288B" w14:textId="77777777" w:rsidR="009A0942" w:rsidRPr="009A0942" w:rsidRDefault="009A0942" w:rsidP="009A0942">
      <w:pPr>
        <w:widowControl w:val="0"/>
        <w:spacing w:after="180"/>
        <w:jc w:val="both"/>
        <w:rPr>
          <w:lang w:val="ro-RO" w:eastAsia="ro-MD"/>
        </w:rPr>
      </w:pPr>
      <w:bookmarkStart w:id="33" w:name="_Hlk185948626"/>
      <w:bookmarkEnd w:id="32"/>
      <w:r w:rsidRPr="009A0942">
        <w:rPr>
          <w:b/>
          <w:bCs/>
          <w:lang w:val="ro-RO" w:eastAsia="ro-MD"/>
        </w:rPr>
        <w:t>78</w:t>
      </w:r>
      <w:r w:rsidRPr="009A0942">
        <w:rPr>
          <w:b/>
          <w:bCs/>
          <w:vertAlign w:val="superscript"/>
          <w:lang w:val="ro-RO" w:eastAsia="ro-MD"/>
        </w:rPr>
        <w:t>1</w:t>
      </w:r>
      <w:r w:rsidRPr="009A0942">
        <w:rPr>
          <w:b/>
          <w:bCs/>
          <w:lang w:val="ro-RO" w:eastAsia="ro-MD"/>
        </w:rPr>
        <w:t>.</w:t>
      </w:r>
      <w:r w:rsidRPr="009A0942">
        <w:rPr>
          <w:lang w:val="ro-RO" w:eastAsia="ro-MD"/>
        </w:rPr>
        <w:t xml:space="preserve"> Banca, atunci când </w:t>
      </w:r>
      <w:proofErr w:type="spellStart"/>
      <w:r w:rsidRPr="009A0942">
        <w:rPr>
          <w:lang w:val="ro-RO" w:eastAsia="ro-MD"/>
        </w:rPr>
        <w:t>acţionează</w:t>
      </w:r>
      <w:proofErr w:type="spellEnd"/>
      <w:r w:rsidRPr="009A0942">
        <w:rPr>
          <w:lang w:val="ro-RO" w:eastAsia="ro-MD"/>
        </w:rPr>
        <w:t xml:space="preserve"> în calitate de bancă a beneficiarului plății sau, după caz, concomitent a plătitorului </w:t>
      </w:r>
      <w:proofErr w:type="spellStart"/>
      <w:r w:rsidRPr="009A0942">
        <w:rPr>
          <w:lang w:val="ro-RO" w:eastAsia="ro-MD"/>
        </w:rPr>
        <w:t>şi</w:t>
      </w:r>
      <w:proofErr w:type="spellEnd"/>
      <w:r w:rsidRPr="009A0942">
        <w:rPr>
          <w:lang w:val="ro-RO" w:eastAsia="ro-MD"/>
        </w:rPr>
        <w:t xml:space="preserve"> a beneficiarului </w:t>
      </w:r>
      <w:proofErr w:type="spellStart"/>
      <w:r w:rsidRPr="009A0942">
        <w:rPr>
          <w:lang w:val="ro-RO" w:eastAsia="ro-MD"/>
        </w:rPr>
        <w:t>plăţii</w:t>
      </w:r>
      <w:proofErr w:type="spellEnd"/>
      <w:r w:rsidRPr="009A0942">
        <w:rPr>
          <w:lang w:val="ro-RO" w:eastAsia="ro-MD"/>
        </w:rPr>
        <w:t xml:space="preserve">, ia în considerare toate </w:t>
      </w:r>
      <w:proofErr w:type="spellStart"/>
      <w:r w:rsidRPr="009A0942">
        <w:rPr>
          <w:lang w:val="ro-RO" w:eastAsia="ro-MD"/>
        </w:rPr>
        <w:t>informaţiile</w:t>
      </w:r>
      <w:proofErr w:type="spellEnd"/>
      <w:r w:rsidRPr="009A0942">
        <w:rPr>
          <w:lang w:val="ro-RO" w:eastAsia="ro-MD"/>
        </w:rPr>
        <w:t xml:space="preserve"> lipsă privind plătitorul </w:t>
      </w:r>
      <w:proofErr w:type="spellStart"/>
      <w:r w:rsidRPr="009A0942">
        <w:rPr>
          <w:lang w:val="ro-RO" w:eastAsia="ro-MD"/>
        </w:rPr>
        <w:t>şi</w:t>
      </w:r>
      <w:proofErr w:type="spellEnd"/>
      <w:r w:rsidRPr="009A0942">
        <w:rPr>
          <w:lang w:val="ro-RO" w:eastAsia="ro-MD"/>
        </w:rPr>
        <w:t xml:space="preserve"> beneficiarul </w:t>
      </w:r>
      <w:proofErr w:type="spellStart"/>
      <w:r w:rsidRPr="009A0942">
        <w:rPr>
          <w:lang w:val="ro-RO" w:eastAsia="ro-MD"/>
        </w:rPr>
        <w:t>plăţii</w:t>
      </w:r>
      <w:proofErr w:type="spellEnd"/>
      <w:r w:rsidRPr="009A0942">
        <w:rPr>
          <w:lang w:val="ro-RO" w:eastAsia="ro-MD"/>
        </w:rPr>
        <w:t xml:space="preserve"> pentru a evalua dacă transferul de fonduri sau orice </w:t>
      </w:r>
      <w:proofErr w:type="spellStart"/>
      <w:r w:rsidRPr="009A0942">
        <w:rPr>
          <w:lang w:val="ro-RO" w:eastAsia="ro-MD"/>
        </w:rPr>
        <w:t>tranzacţie</w:t>
      </w:r>
      <w:proofErr w:type="spellEnd"/>
      <w:r w:rsidRPr="009A0942">
        <w:rPr>
          <w:lang w:val="ro-RO" w:eastAsia="ro-MD"/>
        </w:rPr>
        <w:t xml:space="preserve"> conexă este suspectă </w:t>
      </w:r>
      <w:proofErr w:type="spellStart"/>
      <w:r w:rsidRPr="009A0942">
        <w:rPr>
          <w:lang w:val="ro-RO" w:eastAsia="ro-MD"/>
        </w:rPr>
        <w:t>şi</w:t>
      </w:r>
      <w:proofErr w:type="spellEnd"/>
      <w:r w:rsidRPr="009A0942">
        <w:rPr>
          <w:lang w:val="ro-RO" w:eastAsia="ro-MD"/>
        </w:rPr>
        <w:t xml:space="preserve"> dacă aceasta trebuie raportată Serviciului Prevenirea </w:t>
      </w:r>
      <w:proofErr w:type="spellStart"/>
      <w:r w:rsidRPr="009A0942">
        <w:rPr>
          <w:lang w:val="ro-RO" w:eastAsia="ro-MD"/>
        </w:rPr>
        <w:t>şi</w:t>
      </w:r>
      <w:proofErr w:type="spellEnd"/>
      <w:r w:rsidRPr="009A0942">
        <w:rPr>
          <w:lang w:val="ro-RO" w:eastAsia="ro-MD"/>
        </w:rPr>
        <w:t xml:space="preserve"> Combaterea Spălării Banilor conform </w:t>
      </w:r>
      <w:proofErr w:type="spellStart"/>
      <w:r w:rsidRPr="009A0942">
        <w:rPr>
          <w:lang w:val="ro-RO" w:eastAsia="ro-MD"/>
        </w:rPr>
        <w:t>legislaţiei</w:t>
      </w:r>
      <w:proofErr w:type="spellEnd"/>
      <w:r w:rsidRPr="009A0942">
        <w:rPr>
          <w:lang w:val="ro-RO" w:eastAsia="ro-MD"/>
        </w:rPr>
        <w:t>.</w:t>
      </w:r>
      <w:bookmarkEnd w:id="33"/>
    </w:p>
    <w:p w14:paraId="1644C95E" w14:textId="7C966E8F" w:rsidR="009A0942" w:rsidRDefault="009A0942" w:rsidP="009A0942">
      <w:pPr>
        <w:widowControl w:val="0"/>
        <w:spacing w:after="180"/>
        <w:jc w:val="both"/>
        <w:rPr>
          <w:lang w:val="ro-RO" w:eastAsia="ro-MD"/>
        </w:rPr>
      </w:pPr>
      <w:bookmarkStart w:id="34" w:name="_Hlk185949399"/>
      <w:r w:rsidRPr="009A0942">
        <w:rPr>
          <w:b/>
          <w:bCs/>
          <w:lang w:val="ro-RO" w:eastAsia="ro-MD"/>
        </w:rPr>
        <w:t>79.</w:t>
      </w:r>
      <w:r w:rsidRPr="009A0942">
        <w:rPr>
          <w:lang w:val="ro-RO" w:eastAsia="ro-MD"/>
        </w:rPr>
        <w:t xml:space="preserve"> Banca instituie și aplică proceduri eficace, inclusiv, acolo unde este cazul, controlul după efectuarea transferurilor sau controlul în cursul efectuării acestora, pentru a depista dacă câmpurile referitoare la </w:t>
      </w:r>
      <w:proofErr w:type="spellStart"/>
      <w:r w:rsidRPr="009A0942">
        <w:rPr>
          <w:lang w:val="ro-RO" w:eastAsia="ro-MD"/>
        </w:rPr>
        <w:t>informaţiile</w:t>
      </w:r>
      <w:proofErr w:type="spellEnd"/>
      <w:r w:rsidRPr="009A0942">
        <w:rPr>
          <w:lang w:val="ro-RO" w:eastAsia="ro-MD"/>
        </w:rPr>
        <w:t xml:space="preserve"> privind plătitorul </w:t>
      </w:r>
      <w:proofErr w:type="spellStart"/>
      <w:r w:rsidRPr="009A0942">
        <w:rPr>
          <w:lang w:val="ro-RO" w:eastAsia="ro-MD"/>
        </w:rPr>
        <w:t>şi</w:t>
      </w:r>
      <w:proofErr w:type="spellEnd"/>
      <w:r w:rsidRPr="009A0942">
        <w:rPr>
          <w:lang w:val="ro-RO" w:eastAsia="ro-MD"/>
        </w:rPr>
        <w:t xml:space="preserve"> beneficiarul </w:t>
      </w:r>
      <w:proofErr w:type="spellStart"/>
      <w:r w:rsidRPr="009A0942">
        <w:rPr>
          <w:lang w:val="ro-RO" w:eastAsia="ro-MD"/>
        </w:rPr>
        <w:t>plăţii</w:t>
      </w:r>
      <w:proofErr w:type="spellEnd"/>
      <w:r w:rsidRPr="009A0942">
        <w:rPr>
          <w:lang w:val="ro-RO" w:eastAsia="ro-MD"/>
        </w:rPr>
        <w:t xml:space="preserve"> din sistemul de mesagerie sau plată </w:t>
      </w:r>
      <w:proofErr w:type="spellStart"/>
      <w:r w:rsidRPr="009A0942">
        <w:rPr>
          <w:lang w:val="ro-RO" w:eastAsia="ro-MD"/>
        </w:rPr>
        <w:t>şi</w:t>
      </w:r>
      <w:proofErr w:type="spellEnd"/>
      <w:r w:rsidRPr="009A0942">
        <w:rPr>
          <w:lang w:val="ro-RO" w:eastAsia="ro-MD"/>
        </w:rPr>
        <w:t xml:space="preserve"> decontare utilizat pentru efectuarea transferului de fonduri au fost completate folosind caractere sau elemente compatibile în conformitate cu convențiile sistemului respectiv și în corespundere cu  </w:t>
      </w:r>
      <w:proofErr w:type="spellStart"/>
      <w:r w:rsidRPr="009A0942">
        <w:rPr>
          <w:lang w:val="ro-RO" w:eastAsia="ro-MD"/>
        </w:rPr>
        <w:t>cerinţele</w:t>
      </w:r>
      <w:proofErr w:type="spellEnd"/>
      <w:r w:rsidRPr="009A0942">
        <w:rPr>
          <w:lang w:val="ro-RO" w:eastAsia="ro-MD"/>
        </w:rPr>
        <w:t xml:space="preserve"> </w:t>
      </w:r>
      <w:bookmarkStart w:id="35" w:name="_Hlk184921040"/>
      <w:r w:rsidRPr="009A0942">
        <w:rPr>
          <w:lang w:val="ro-RO" w:eastAsia="ro-MD"/>
        </w:rPr>
        <w:t xml:space="preserve">pct.66 subpct.1)-3), 67 </w:t>
      </w:r>
      <w:proofErr w:type="spellStart"/>
      <w:r w:rsidRPr="009A0942">
        <w:rPr>
          <w:lang w:val="ro-RO" w:eastAsia="ro-MD"/>
        </w:rPr>
        <w:t>subpct</w:t>
      </w:r>
      <w:proofErr w:type="spellEnd"/>
      <w:r w:rsidRPr="009A0942">
        <w:rPr>
          <w:lang w:val="ro-RO" w:eastAsia="ro-MD"/>
        </w:rPr>
        <w:t xml:space="preserve"> 1)-2), 68, 70, 71 </w:t>
      </w:r>
      <w:proofErr w:type="spellStart"/>
      <w:r w:rsidRPr="009A0942">
        <w:rPr>
          <w:lang w:val="ro-RO" w:eastAsia="ro-MD"/>
        </w:rPr>
        <w:t>şi</w:t>
      </w:r>
      <w:proofErr w:type="spellEnd"/>
      <w:r w:rsidRPr="009A0942">
        <w:rPr>
          <w:lang w:val="ro-RO" w:eastAsia="ro-MD"/>
        </w:rPr>
        <w:t xml:space="preserve"> 71</w:t>
      </w:r>
      <w:r w:rsidRPr="009A0942">
        <w:rPr>
          <w:vertAlign w:val="superscript"/>
          <w:lang w:val="ro-RO" w:eastAsia="ro-MD"/>
        </w:rPr>
        <w:t>1</w:t>
      </w:r>
      <w:r w:rsidRPr="009A0942">
        <w:rPr>
          <w:lang w:val="ro-RO" w:eastAsia="ro-MD"/>
        </w:rPr>
        <w:t xml:space="preserve"> </w:t>
      </w:r>
      <w:bookmarkEnd w:id="35"/>
      <w:proofErr w:type="spellStart"/>
      <w:r w:rsidRPr="009A0942">
        <w:rPr>
          <w:lang w:val="ro-RO" w:eastAsia="ro-MD"/>
        </w:rPr>
        <w:t>şi</w:t>
      </w:r>
      <w:proofErr w:type="spellEnd"/>
      <w:r w:rsidRPr="009A0942">
        <w:rPr>
          <w:lang w:val="ro-RO" w:eastAsia="ro-MD"/>
        </w:rPr>
        <w:t xml:space="preserve"> se asigură că toate </w:t>
      </w:r>
      <w:proofErr w:type="spellStart"/>
      <w:r w:rsidRPr="009A0942">
        <w:rPr>
          <w:lang w:val="ro-RO" w:eastAsia="ro-MD"/>
        </w:rPr>
        <w:t>informaţiile</w:t>
      </w:r>
      <w:proofErr w:type="spellEnd"/>
      <w:r w:rsidRPr="009A0942">
        <w:rPr>
          <w:lang w:val="ro-RO" w:eastAsia="ro-MD"/>
        </w:rPr>
        <w:t xml:space="preserve"> primite privind plătitorul </w:t>
      </w:r>
      <w:proofErr w:type="spellStart"/>
      <w:r w:rsidRPr="009A0942">
        <w:rPr>
          <w:lang w:val="ro-RO" w:eastAsia="ro-MD"/>
        </w:rPr>
        <w:t>şi</w:t>
      </w:r>
      <w:proofErr w:type="spellEnd"/>
      <w:r w:rsidRPr="009A0942">
        <w:rPr>
          <w:lang w:val="ro-RO" w:eastAsia="ro-MD"/>
        </w:rPr>
        <w:t xml:space="preserve"> beneficiarul </w:t>
      </w:r>
      <w:proofErr w:type="spellStart"/>
      <w:r w:rsidRPr="009A0942">
        <w:rPr>
          <w:lang w:val="ro-RO" w:eastAsia="ro-MD"/>
        </w:rPr>
        <w:t>plăţii</w:t>
      </w:r>
      <w:proofErr w:type="spellEnd"/>
      <w:r w:rsidRPr="009A0942">
        <w:rPr>
          <w:lang w:val="ro-RO" w:eastAsia="ro-MD"/>
        </w:rPr>
        <w:t xml:space="preserve"> care </w:t>
      </w:r>
      <w:proofErr w:type="spellStart"/>
      <w:r w:rsidRPr="009A0942">
        <w:rPr>
          <w:lang w:val="ro-RO" w:eastAsia="ro-MD"/>
        </w:rPr>
        <w:t>însoţesc</w:t>
      </w:r>
      <w:proofErr w:type="spellEnd"/>
      <w:r w:rsidRPr="009A0942">
        <w:rPr>
          <w:lang w:val="ro-RO" w:eastAsia="ro-MD"/>
        </w:rPr>
        <w:t xml:space="preserve"> un transfer de fonduri sunt păstrate împreună cu acel transfer.</w:t>
      </w:r>
      <w:r>
        <w:rPr>
          <w:lang w:val="ro-RO" w:eastAsia="ro-MD"/>
        </w:rPr>
        <w:t>”.</w:t>
      </w:r>
    </w:p>
    <w:p w14:paraId="7C917043" w14:textId="14C6D58F" w:rsidR="009A0942" w:rsidRDefault="009A0942" w:rsidP="009A0942">
      <w:pPr>
        <w:widowControl w:val="0"/>
        <w:spacing w:after="180"/>
        <w:ind w:firstLine="284"/>
        <w:jc w:val="both"/>
        <w:rPr>
          <w:lang w:val="ro-RO" w:eastAsia="ro-MD"/>
        </w:rPr>
      </w:pPr>
      <w:r>
        <w:rPr>
          <w:lang w:val="ro-RO" w:eastAsia="ro-MD"/>
        </w:rPr>
        <w:t>15)</w:t>
      </w:r>
      <w:r>
        <w:rPr>
          <w:lang w:val="ro-RO" w:eastAsia="ro-MD"/>
        </w:rPr>
        <w:tab/>
        <w:t xml:space="preserve">Pct. 80 se </w:t>
      </w:r>
      <w:r w:rsidR="00580D35">
        <w:rPr>
          <w:lang w:val="ro-RO" w:eastAsia="ro-MD"/>
        </w:rPr>
        <w:t>abrog</w:t>
      </w:r>
      <w:r w:rsidR="00580D35">
        <w:rPr>
          <w:lang w:val="ro-MD" w:eastAsia="ro-MD"/>
        </w:rPr>
        <w:t>ă</w:t>
      </w:r>
      <w:r>
        <w:rPr>
          <w:lang w:val="ro-RO" w:eastAsia="ro-MD"/>
        </w:rPr>
        <w:t>.</w:t>
      </w:r>
    </w:p>
    <w:p w14:paraId="1868CFDC" w14:textId="0F23AFB0" w:rsidR="009A0942" w:rsidRDefault="009A0942" w:rsidP="009A0942">
      <w:pPr>
        <w:widowControl w:val="0"/>
        <w:spacing w:after="180"/>
        <w:ind w:firstLine="284"/>
        <w:jc w:val="both"/>
        <w:rPr>
          <w:lang w:val="ro-RO" w:eastAsia="ro-MD"/>
        </w:rPr>
      </w:pPr>
      <w:r>
        <w:rPr>
          <w:lang w:val="ro-RO" w:eastAsia="ro-MD"/>
        </w:rPr>
        <w:t>16)</w:t>
      </w:r>
      <w:r>
        <w:rPr>
          <w:lang w:val="ro-RO" w:eastAsia="ro-MD"/>
        </w:rPr>
        <w:tab/>
      </w:r>
      <w:r w:rsidRPr="009A0942">
        <w:rPr>
          <w:lang w:val="ro-RO" w:eastAsia="ro-MD"/>
        </w:rPr>
        <w:t xml:space="preserve">Pct. </w:t>
      </w:r>
      <w:r>
        <w:rPr>
          <w:lang w:val="ro-RO" w:eastAsia="ro-MD"/>
        </w:rPr>
        <w:t>81</w:t>
      </w:r>
      <w:r w:rsidRPr="009A0942">
        <w:rPr>
          <w:lang w:val="ro-RO" w:eastAsia="ro-MD"/>
        </w:rPr>
        <w:t>-</w:t>
      </w:r>
      <w:r>
        <w:rPr>
          <w:lang w:val="ro-RO" w:eastAsia="ro-MD"/>
        </w:rPr>
        <w:t>84</w:t>
      </w:r>
      <w:r w:rsidRPr="009A0942">
        <w:rPr>
          <w:lang w:val="ro-RO" w:eastAsia="ro-MD"/>
        </w:rPr>
        <w:t xml:space="preserve"> vor avea următorul cuprins:</w:t>
      </w:r>
    </w:p>
    <w:p w14:paraId="055AC802" w14:textId="023EB988" w:rsidR="009A0942" w:rsidRDefault="003E417F" w:rsidP="009A0942">
      <w:pPr>
        <w:widowControl w:val="0"/>
        <w:spacing w:after="180"/>
        <w:jc w:val="both"/>
        <w:rPr>
          <w:lang w:val="ro-RO" w:eastAsia="ro-MD"/>
        </w:rPr>
      </w:pPr>
      <w:bookmarkStart w:id="36" w:name="_Hlk184744621"/>
      <w:r>
        <w:rPr>
          <w:b/>
          <w:bCs/>
          <w:lang w:val="ro-RO" w:eastAsia="ro-MD"/>
        </w:rPr>
        <w:t>„</w:t>
      </w:r>
      <w:r w:rsidR="009A0942" w:rsidRPr="009A0942">
        <w:rPr>
          <w:b/>
          <w:bCs/>
          <w:lang w:val="ro-RO" w:eastAsia="ro-MD"/>
        </w:rPr>
        <w:t>81.</w:t>
      </w:r>
      <w:r w:rsidR="009A0942" w:rsidRPr="009A0942">
        <w:rPr>
          <w:lang w:val="ro-RO" w:eastAsia="ro-MD"/>
        </w:rPr>
        <w:t xml:space="preserve"> Banca pune în aplicare proceduri eficace bazate pe riscuri pentru a determina dacă să execute, să respingă sau să suspende un transfer de fonduri în cazul în care </w:t>
      </w:r>
      <w:proofErr w:type="spellStart"/>
      <w:r w:rsidR="009A0942" w:rsidRPr="009A0942">
        <w:rPr>
          <w:lang w:val="ro-RO" w:eastAsia="ro-MD"/>
        </w:rPr>
        <w:t>informaţiile</w:t>
      </w:r>
      <w:proofErr w:type="spellEnd"/>
      <w:r w:rsidR="009A0942" w:rsidRPr="009A0942">
        <w:rPr>
          <w:lang w:val="ro-RO" w:eastAsia="ro-MD"/>
        </w:rPr>
        <w:t xml:space="preserve"> cerute privind plătitorul </w:t>
      </w:r>
      <w:proofErr w:type="spellStart"/>
      <w:r w:rsidR="009A0942" w:rsidRPr="009A0942">
        <w:rPr>
          <w:lang w:val="ro-RO" w:eastAsia="ro-MD"/>
        </w:rPr>
        <w:t>şi</w:t>
      </w:r>
      <w:proofErr w:type="spellEnd"/>
      <w:r w:rsidR="009A0942" w:rsidRPr="009A0942">
        <w:rPr>
          <w:lang w:val="ro-RO" w:eastAsia="ro-MD"/>
        </w:rPr>
        <w:t xml:space="preserve"> beneficiarul </w:t>
      </w:r>
      <w:proofErr w:type="spellStart"/>
      <w:r w:rsidR="009A0942" w:rsidRPr="009A0942">
        <w:rPr>
          <w:lang w:val="ro-RO" w:eastAsia="ro-MD"/>
        </w:rPr>
        <w:t>plăţii</w:t>
      </w:r>
      <w:proofErr w:type="spellEnd"/>
      <w:r w:rsidR="009A0942" w:rsidRPr="009A0942">
        <w:rPr>
          <w:lang w:val="ro-RO" w:eastAsia="ro-MD"/>
        </w:rPr>
        <w:t xml:space="preserve"> lipsesc și pentru a lua măsurile ulterioare adecvate. Banca ia în considerare aplicarea acestor proceduri </w:t>
      </w:r>
      <w:proofErr w:type="spellStart"/>
      <w:r w:rsidR="009A0942" w:rsidRPr="009A0942">
        <w:rPr>
          <w:lang w:val="ro-RO" w:eastAsia="ro-MD"/>
        </w:rPr>
        <w:t>şi</w:t>
      </w:r>
      <w:proofErr w:type="spellEnd"/>
      <w:r w:rsidR="009A0942" w:rsidRPr="009A0942">
        <w:rPr>
          <w:lang w:val="ro-RO" w:eastAsia="ro-MD"/>
        </w:rPr>
        <w:t xml:space="preserve"> în cazul în care nu este completat câmpul "</w:t>
      </w:r>
      <w:proofErr w:type="spellStart"/>
      <w:r w:rsidR="009A0942" w:rsidRPr="009A0942">
        <w:rPr>
          <w:lang w:val="ro-RO" w:eastAsia="ro-MD"/>
        </w:rPr>
        <w:t>destinaţii</w:t>
      </w:r>
      <w:proofErr w:type="spellEnd"/>
      <w:r w:rsidR="009A0942" w:rsidRPr="009A0942">
        <w:rPr>
          <w:lang w:val="ro-RO" w:eastAsia="ro-MD"/>
        </w:rPr>
        <w:t xml:space="preserve"> </w:t>
      </w:r>
      <w:proofErr w:type="spellStart"/>
      <w:r w:rsidR="009A0942" w:rsidRPr="009A0942">
        <w:rPr>
          <w:lang w:val="ro-RO" w:eastAsia="ro-MD"/>
        </w:rPr>
        <w:t>plăţii</w:t>
      </w:r>
      <w:proofErr w:type="spellEnd"/>
      <w:r w:rsidR="009A0942" w:rsidRPr="009A0942">
        <w:rPr>
          <w:lang w:val="ro-RO" w:eastAsia="ro-MD"/>
        </w:rPr>
        <w:t>/transferului".</w:t>
      </w:r>
      <w:bookmarkStart w:id="37" w:name="_Hlk184745664"/>
      <w:bookmarkEnd w:id="36"/>
    </w:p>
    <w:p w14:paraId="4C24A270" w14:textId="7B37F0E6" w:rsidR="009A0942" w:rsidRDefault="009A0942" w:rsidP="009A0942">
      <w:pPr>
        <w:widowControl w:val="0"/>
        <w:spacing w:after="180"/>
        <w:jc w:val="both"/>
        <w:rPr>
          <w:lang w:val="ro-RO" w:eastAsia="ro-MD"/>
        </w:rPr>
      </w:pPr>
      <w:r w:rsidRPr="009A0942">
        <w:rPr>
          <w:b/>
          <w:bCs/>
          <w:lang w:val="ro-RO" w:eastAsia="ro-MD"/>
        </w:rPr>
        <w:t>82.</w:t>
      </w:r>
      <w:r w:rsidRPr="009A0942">
        <w:rPr>
          <w:lang w:val="ro-RO" w:eastAsia="ro-MD"/>
        </w:rPr>
        <w:t xml:space="preserve"> Banca, dacă constată că la primirea transferului de fonduri, </w:t>
      </w:r>
      <w:proofErr w:type="spellStart"/>
      <w:r w:rsidRPr="009A0942">
        <w:rPr>
          <w:lang w:val="ro-RO" w:eastAsia="ro-MD"/>
        </w:rPr>
        <w:t>informaţiile</w:t>
      </w:r>
      <w:proofErr w:type="spellEnd"/>
      <w:r w:rsidRPr="009A0942">
        <w:rPr>
          <w:lang w:val="ro-RO" w:eastAsia="ro-MD"/>
        </w:rPr>
        <w:t xml:space="preserve"> </w:t>
      </w:r>
      <w:proofErr w:type="spellStart"/>
      <w:r w:rsidRPr="009A0942">
        <w:rPr>
          <w:lang w:val="ro-RO" w:eastAsia="ro-MD"/>
        </w:rPr>
        <w:t>menţionate</w:t>
      </w:r>
      <w:proofErr w:type="spellEnd"/>
      <w:r w:rsidRPr="009A0942">
        <w:rPr>
          <w:lang w:val="ro-RO" w:eastAsia="ro-MD"/>
        </w:rPr>
        <w:t xml:space="preserve"> la pct.66 </w:t>
      </w:r>
      <w:proofErr w:type="spellStart"/>
      <w:r w:rsidRPr="009A0942">
        <w:rPr>
          <w:lang w:val="ro-RO" w:eastAsia="ro-MD"/>
        </w:rPr>
        <w:t>subpct</w:t>
      </w:r>
      <w:proofErr w:type="spellEnd"/>
      <w:r w:rsidRPr="009A0942">
        <w:rPr>
          <w:lang w:val="ro-RO" w:eastAsia="ro-MD"/>
        </w:rPr>
        <w:t xml:space="preserve">. 1)-3), 67 </w:t>
      </w:r>
      <w:proofErr w:type="spellStart"/>
      <w:r w:rsidRPr="009A0942">
        <w:rPr>
          <w:lang w:val="ro-RO" w:eastAsia="ro-MD"/>
        </w:rPr>
        <w:t>subpct</w:t>
      </w:r>
      <w:proofErr w:type="spellEnd"/>
      <w:r w:rsidRPr="009A0942">
        <w:rPr>
          <w:lang w:val="ro-RO" w:eastAsia="ro-MD"/>
        </w:rPr>
        <w:t xml:space="preserve"> 1)-2), 68, 70, 71 </w:t>
      </w:r>
      <w:proofErr w:type="spellStart"/>
      <w:r w:rsidRPr="009A0942">
        <w:rPr>
          <w:lang w:val="ro-RO" w:eastAsia="ro-MD"/>
        </w:rPr>
        <w:t>şi</w:t>
      </w:r>
      <w:proofErr w:type="spellEnd"/>
      <w:r w:rsidRPr="009A0942">
        <w:rPr>
          <w:lang w:val="ro-RO" w:eastAsia="ro-MD"/>
        </w:rPr>
        <w:t xml:space="preserve"> 71</w:t>
      </w:r>
      <w:r w:rsidR="00765B33">
        <w:rPr>
          <w:vertAlign w:val="superscript"/>
          <w:lang w:val="ro-RO" w:eastAsia="ro-MD"/>
        </w:rPr>
        <w:t>1</w:t>
      </w:r>
      <w:r w:rsidR="00765B33">
        <w:rPr>
          <w:lang w:val="ro-RO" w:eastAsia="ro-MD"/>
        </w:rPr>
        <w:t xml:space="preserve"> </w:t>
      </w:r>
      <w:r w:rsidRPr="009A0942">
        <w:rPr>
          <w:lang w:val="ro-RO" w:eastAsia="ro-MD"/>
        </w:rPr>
        <w:t xml:space="preserve">lipsesc sau sunt incomplete, ori nu au fost completate folosind caractere sau elemente compatibile în conformitate cu convențiile sistemului de mesagerie sau de plată și decontare, astfel cum este prevăzut la pct. 73 și 79, fie respinge transferul sau solicită </w:t>
      </w:r>
      <w:proofErr w:type="spellStart"/>
      <w:r w:rsidRPr="009A0942">
        <w:rPr>
          <w:lang w:val="ro-RO" w:eastAsia="ro-MD"/>
        </w:rPr>
        <w:t>informaţiile</w:t>
      </w:r>
      <w:proofErr w:type="spellEnd"/>
      <w:r w:rsidRPr="009A0942">
        <w:rPr>
          <w:lang w:val="ro-RO" w:eastAsia="ro-MD"/>
        </w:rPr>
        <w:t xml:space="preserve"> cerute privind plătitorul </w:t>
      </w:r>
      <w:proofErr w:type="spellStart"/>
      <w:r w:rsidRPr="009A0942">
        <w:rPr>
          <w:lang w:val="ro-RO" w:eastAsia="ro-MD"/>
        </w:rPr>
        <w:t>şi</w:t>
      </w:r>
      <w:proofErr w:type="spellEnd"/>
      <w:r w:rsidRPr="009A0942">
        <w:rPr>
          <w:lang w:val="ro-RO" w:eastAsia="ro-MD"/>
        </w:rPr>
        <w:t xml:space="preserve"> beneficiarul </w:t>
      </w:r>
      <w:proofErr w:type="spellStart"/>
      <w:r w:rsidRPr="009A0942">
        <w:rPr>
          <w:lang w:val="ro-RO" w:eastAsia="ro-MD"/>
        </w:rPr>
        <w:t>plăţii</w:t>
      </w:r>
      <w:proofErr w:type="spellEnd"/>
      <w:r w:rsidRPr="009A0942">
        <w:rPr>
          <w:lang w:val="ro-RO" w:eastAsia="ro-MD"/>
        </w:rPr>
        <w:t xml:space="preserve"> înainte sau după transmiterea transferului de fonduri, în </w:t>
      </w:r>
      <w:proofErr w:type="spellStart"/>
      <w:r w:rsidRPr="009A0942">
        <w:rPr>
          <w:lang w:val="ro-RO" w:eastAsia="ro-MD"/>
        </w:rPr>
        <w:t>funcţie</w:t>
      </w:r>
      <w:proofErr w:type="spellEnd"/>
      <w:r w:rsidRPr="009A0942">
        <w:rPr>
          <w:lang w:val="ro-RO" w:eastAsia="ro-MD"/>
        </w:rPr>
        <w:t xml:space="preserve"> de riscul asociat.</w:t>
      </w:r>
      <w:bookmarkStart w:id="38" w:name="_Hlk185950807"/>
      <w:bookmarkEnd w:id="37"/>
    </w:p>
    <w:p w14:paraId="01116CB7" w14:textId="06B796E6" w:rsidR="009A0942" w:rsidRPr="009A0942" w:rsidRDefault="009A0942" w:rsidP="009A0942">
      <w:pPr>
        <w:widowControl w:val="0"/>
        <w:spacing w:after="180"/>
        <w:jc w:val="both"/>
        <w:rPr>
          <w:lang w:val="ro-MD" w:eastAsia="ro-MD"/>
        </w:rPr>
      </w:pPr>
      <w:r w:rsidRPr="009A0942">
        <w:rPr>
          <w:b/>
          <w:bCs/>
          <w:lang w:val="ro-RO" w:eastAsia="ro-MD"/>
        </w:rPr>
        <w:t>83.</w:t>
      </w:r>
      <w:r w:rsidRPr="009A0942">
        <w:rPr>
          <w:lang w:val="ro-RO" w:eastAsia="ro-MD"/>
        </w:rPr>
        <w:t xml:space="preserve"> În cazul în care prestatorul de servicii de plată care efectuează transferul omite în mod repetat să furnizeze </w:t>
      </w:r>
      <w:proofErr w:type="spellStart"/>
      <w:r w:rsidRPr="009A0942">
        <w:rPr>
          <w:lang w:val="ro-RO" w:eastAsia="ro-MD"/>
        </w:rPr>
        <w:t>informaţiile</w:t>
      </w:r>
      <w:proofErr w:type="spellEnd"/>
      <w:r w:rsidRPr="009A0942">
        <w:rPr>
          <w:lang w:val="ro-RO" w:eastAsia="ro-MD"/>
        </w:rPr>
        <w:t xml:space="preserve"> cerute cu privire la plătitor sau beneficiarul </w:t>
      </w:r>
      <w:proofErr w:type="spellStart"/>
      <w:r w:rsidRPr="009A0942">
        <w:rPr>
          <w:lang w:val="ro-RO" w:eastAsia="ro-MD"/>
        </w:rPr>
        <w:t>plăţii</w:t>
      </w:r>
      <w:proofErr w:type="spellEnd"/>
      <w:r w:rsidRPr="009A0942">
        <w:rPr>
          <w:lang w:val="ro-RO" w:eastAsia="ro-MD"/>
        </w:rPr>
        <w:t xml:space="preserve">, banca intermediară ia măsuri care pot consta, mai </w:t>
      </w:r>
      <w:proofErr w:type="spellStart"/>
      <w:r w:rsidRPr="009A0942">
        <w:rPr>
          <w:lang w:val="ro-RO" w:eastAsia="ro-MD"/>
        </w:rPr>
        <w:t>întîi</w:t>
      </w:r>
      <w:proofErr w:type="spellEnd"/>
      <w:r w:rsidRPr="009A0942">
        <w:rPr>
          <w:lang w:val="ro-RO" w:eastAsia="ro-MD"/>
        </w:rPr>
        <w:t xml:space="preserve">, în emiterea unor avertismente </w:t>
      </w:r>
      <w:proofErr w:type="spellStart"/>
      <w:r w:rsidRPr="009A0942">
        <w:rPr>
          <w:lang w:val="ro-RO" w:eastAsia="ro-MD"/>
        </w:rPr>
        <w:t>şi</w:t>
      </w:r>
      <w:proofErr w:type="spellEnd"/>
      <w:r w:rsidRPr="009A0942">
        <w:rPr>
          <w:lang w:val="ro-RO" w:eastAsia="ro-MD"/>
        </w:rPr>
        <w:t xml:space="preserve"> stabilirea unor termene-limită, înainte de respingerea oricărui transfer de fonduri care provine de la acesta, fie de a decide, să </w:t>
      </w:r>
      <w:proofErr w:type="spellStart"/>
      <w:r w:rsidRPr="009A0942">
        <w:rPr>
          <w:lang w:val="ro-RO" w:eastAsia="ro-MD"/>
        </w:rPr>
        <w:t>restrîngă</w:t>
      </w:r>
      <w:proofErr w:type="spellEnd"/>
      <w:r w:rsidRPr="009A0942">
        <w:rPr>
          <w:lang w:val="ro-RO" w:eastAsia="ro-MD"/>
        </w:rPr>
        <w:t xml:space="preserve"> sau să înceteze </w:t>
      </w:r>
      <w:proofErr w:type="spellStart"/>
      <w:r w:rsidRPr="009A0942">
        <w:rPr>
          <w:lang w:val="ro-RO" w:eastAsia="ro-MD"/>
        </w:rPr>
        <w:t>relaţia</w:t>
      </w:r>
      <w:proofErr w:type="spellEnd"/>
      <w:r w:rsidRPr="009A0942">
        <w:rPr>
          <w:lang w:val="ro-RO" w:eastAsia="ro-MD"/>
        </w:rPr>
        <w:t xml:space="preserve"> comercială cu respectivul prestator. Banca intermediară informează Banca Națională a Moldovei despre aceste omisiuni, precum și despre măsurile întreprinse.</w:t>
      </w:r>
      <w:r w:rsidRPr="009A0942">
        <w:rPr>
          <w:lang w:val="ro-MD" w:eastAsia="ro-MD"/>
        </w:rPr>
        <w:t xml:space="preserve"> </w:t>
      </w:r>
      <w:bookmarkEnd w:id="38"/>
    </w:p>
    <w:p w14:paraId="148455F7" w14:textId="1252FA8C" w:rsidR="009A0942" w:rsidRPr="009A0942" w:rsidRDefault="009A0942" w:rsidP="009A0942">
      <w:pPr>
        <w:widowControl w:val="0"/>
        <w:spacing w:after="180"/>
        <w:jc w:val="both"/>
        <w:rPr>
          <w:lang w:val="ro-RO" w:eastAsia="ro-MD"/>
        </w:rPr>
      </w:pPr>
      <w:bookmarkStart w:id="39" w:name="_Hlk185951584"/>
      <w:r w:rsidRPr="009A0942">
        <w:rPr>
          <w:b/>
          <w:bCs/>
          <w:lang w:val="ro-RO" w:eastAsia="ro-MD"/>
        </w:rPr>
        <w:t>84</w:t>
      </w:r>
      <w:r w:rsidRPr="009A0942">
        <w:rPr>
          <w:lang w:val="ro-RO" w:eastAsia="ro-MD"/>
        </w:rPr>
        <w:t xml:space="preserve">. Banca ia în considerare informațiile lipsă privind plătitorul sau beneficiarul plății atunci când evaluează dacă transferul de fonduri sau orice tranzacție conexă este suspectă și dacă aceasta trebuie raportată Serviciului Prevenirea </w:t>
      </w:r>
      <w:proofErr w:type="spellStart"/>
      <w:r w:rsidRPr="009A0942">
        <w:rPr>
          <w:lang w:val="ro-RO" w:eastAsia="ro-MD"/>
        </w:rPr>
        <w:t>şi</w:t>
      </w:r>
      <w:proofErr w:type="spellEnd"/>
      <w:r w:rsidRPr="009A0942">
        <w:rPr>
          <w:lang w:val="ro-RO" w:eastAsia="ro-MD"/>
        </w:rPr>
        <w:t xml:space="preserve"> Combaterea Spălării Banilor</w:t>
      </w:r>
      <w:r w:rsidRPr="009A0942" w:rsidDel="00ED3D23">
        <w:rPr>
          <w:lang w:val="ro-RO" w:eastAsia="ro-MD"/>
        </w:rPr>
        <w:t xml:space="preserve"> </w:t>
      </w:r>
      <w:r w:rsidRPr="009A0942">
        <w:rPr>
          <w:lang w:val="ro-RO" w:eastAsia="ro-MD"/>
        </w:rPr>
        <w:t>în conformitate cu art. 11 din Legea nr. 308/2017 cu privire la prevenirea și combaterea spălării banilor și finanțării terorismului.</w:t>
      </w:r>
      <w:r w:rsidR="00765B33">
        <w:rPr>
          <w:lang w:val="ro-RO" w:eastAsia="ro-MD"/>
        </w:rPr>
        <w:t>”.</w:t>
      </w:r>
    </w:p>
    <w:bookmarkEnd w:id="7"/>
    <w:bookmarkEnd w:id="10"/>
    <w:bookmarkEnd w:id="13"/>
    <w:bookmarkEnd w:id="20"/>
    <w:bookmarkEnd w:id="22"/>
    <w:bookmarkEnd w:id="27"/>
    <w:bookmarkEnd w:id="34"/>
    <w:bookmarkEnd w:id="39"/>
    <w:p w14:paraId="3A24C9CD" w14:textId="77777777" w:rsidR="0095376D" w:rsidRDefault="0095376D" w:rsidP="00524CD4">
      <w:pPr>
        <w:autoSpaceDE w:val="0"/>
        <w:autoSpaceDN w:val="0"/>
        <w:adjustRightInd w:val="0"/>
        <w:jc w:val="both"/>
        <w:rPr>
          <w:b/>
          <w:lang w:val="ro-RO"/>
        </w:rPr>
      </w:pPr>
    </w:p>
    <w:p w14:paraId="79CF78F6" w14:textId="5E388A76" w:rsidR="00B464FA" w:rsidRPr="00555FDF" w:rsidRDefault="00524CD4" w:rsidP="00C15E49">
      <w:pPr>
        <w:autoSpaceDE w:val="0"/>
        <w:autoSpaceDN w:val="0"/>
        <w:adjustRightInd w:val="0"/>
        <w:ind w:firstLine="567"/>
        <w:jc w:val="both"/>
        <w:rPr>
          <w:b/>
          <w:lang w:val="ro-RO"/>
        </w:rPr>
      </w:pPr>
      <w:r>
        <w:rPr>
          <w:b/>
          <w:lang w:val="ro-RO"/>
        </w:rPr>
        <w:t>2</w:t>
      </w:r>
      <w:r w:rsidR="00F867A6" w:rsidRPr="00555FDF">
        <w:rPr>
          <w:b/>
          <w:lang w:val="ro-RO"/>
        </w:rPr>
        <w:t xml:space="preserve">. </w:t>
      </w:r>
      <w:r w:rsidR="00B464FA" w:rsidRPr="00555FDF">
        <w:rPr>
          <w:bCs/>
          <w:lang w:val="ro-RO"/>
        </w:rPr>
        <w:t>Regulamentul cu privire la cerințele privind prevenirea și combaterea spălării banilor și finanțării terorismului în activitatea prestatorilor de servicii de plată nebancari, aprobat prin Hotărârea Comitetului executiv al Băncii Naționale a Moldovei nr. 202/2018</w:t>
      </w:r>
      <w:r w:rsidR="00F867A6" w:rsidRPr="00555FDF">
        <w:rPr>
          <w:bCs/>
          <w:lang w:val="ro-RO"/>
        </w:rPr>
        <w:t xml:space="preserve"> </w:t>
      </w:r>
      <w:r w:rsidR="00F760E1" w:rsidRPr="00555FDF">
        <w:rPr>
          <w:bCs/>
          <w:lang w:val="ro-RO"/>
        </w:rPr>
        <w:t xml:space="preserve">(Monitorul Oficial al Republicii Moldova, 2018, nr.321-332, art.1313), cu modificările ulterioare, </w:t>
      </w:r>
      <w:r w:rsidR="00F867A6" w:rsidRPr="00555FDF">
        <w:rPr>
          <w:bCs/>
          <w:lang w:val="ro-RO"/>
        </w:rPr>
        <w:t xml:space="preserve">înregistrat de Ministerul </w:t>
      </w:r>
      <w:r w:rsidR="00F760E1" w:rsidRPr="00555FDF">
        <w:rPr>
          <w:bCs/>
          <w:lang w:val="ro-RO"/>
        </w:rPr>
        <w:t>Justiției</w:t>
      </w:r>
      <w:r w:rsidR="00F867A6" w:rsidRPr="00555FDF">
        <w:rPr>
          <w:bCs/>
          <w:lang w:val="ro-RO"/>
        </w:rPr>
        <w:t xml:space="preserve"> al Republicii Moldova cu nr.1355 din 21.08.2018</w:t>
      </w:r>
      <w:r w:rsidR="00B464FA" w:rsidRPr="00555FDF">
        <w:rPr>
          <w:bCs/>
          <w:lang w:val="ro-RO"/>
        </w:rPr>
        <w:t>, se modifică după cum urmează:</w:t>
      </w:r>
    </w:p>
    <w:p w14:paraId="649B3619" w14:textId="5ECB4859" w:rsidR="00F760E1" w:rsidRPr="00555FDF" w:rsidRDefault="00F760E1" w:rsidP="00F760E1">
      <w:pPr>
        <w:pStyle w:val="NormalWeb"/>
        <w:spacing w:before="0" w:beforeAutospacing="0" w:after="0" w:afterAutospacing="0"/>
        <w:ind w:firstLine="567"/>
        <w:jc w:val="both"/>
        <w:rPr>
          <w:rFonts w:ascii="Arial" w:hAnsi="Arial" w:cs="Arial"/>
          <w:lang w:val="ro-RO"/>
        </w:rPr>
      </w:pPr>
    </w:p>
    <w:p w14:paraId="3DA22E0F" w14:textId="0F38530A" w:rsidR="00765B33" w:rsidRPr="00765B33" w:rsidRDefault="00765B33" w:rsidP="00765B33">
      <w:pPr>
        <w:pStyle w:val="ListParagraph"/>
        <w:numPr>
          <w:ilvl w:val="0"/>
          <w:numId w:val="41"/>
        </w:numPr>
        <w:ind w:hanging="436"/>
        <w:jc w:val="both"/>
        <w:rPr>
          <w:lang w:val="ro-RO"/>
        </w:rPr>
      </w:pPr>
      <w:r w:rsidRPr="00765B33">
        <w:rPr>
          <w:lang w:val="ro-RO"/>
        </w:rPr>
        <w:t xml:space="preserve">Pct. 3 se completează cu următorul text: </w:t>
      </w:r>
    </w:p>
    <w:p w14:paraId="686DB81D" w14:textId="5A8BC60A" w:rsidR="00765B33" w:rsidRPr="00D3751A" w:rsidRDefault="00765B33" w:rsidP="00D3751A">
      <w:pPr>
        <w:pStyle w:val="ListParagraph"/>
        <w:ind w:hanging="720"/>
        <w:jc w:val="both"/>
        <w:rPr>
          <w:lang w:val="ro-RO"/>
        </w:rPr>
      </w:pPr>
      <w:r>
        <w:rPr>
          <w:lang w:val="ro-RO"/>
        </w:rPr>
        <w:t>„</w:t>
      </w:r>
      <w:r w:rsidRPr="00765B33">
        <w:rPr>
          <w:lang w:val="ro-RO"/>
        </w:rPr>
        <w:t>De asemenea, în sensul prezentului Regulament se utilizează următorii termeni și expresii:</w:t>
      </w:r>
    </w:p>
    <w:p w14:paraId="041E32D1" w14:textId="7F279B12" w:rsidR="00765B33" w:rsidRDefault="00765B33" w:rsidP="00765B33">
      <w:pPr>
        <w:spacing w:after="180"/>
        <w:contextualSpacing/>
        <w:jc w:val="both"/>
        <w:rPr>
          <w:lang w:val="ro-MD" w:eastAsia="ro-MD"/>
        </w:rPr>
      </w:pPr>
      <w:r w:rsidRPr="00765B33">
        <w:rPr>
          <w:i/>
          <w:iCs/>
          <w:lang w:val="ro-MD" w:eastAsia="ro-MD"/>
        </w:rPr>
        <w:t>identificatorul entității juridice (LEI) – un cod de referință alfanumeric unic de 20 de caractere, bazat pe standardul ISO 17442, atribuit unei entități juridice.</w:t>
      </w:r>
      <w:r>
        <w:rPr>
          <w:lang w:val="ro-MD" w:eastAsia="ro-MD"/>
        </w:rPr>
        <w:t>”.</w:t>
      </w:r>
    </w:p>
    <w:p w14:paraId="56EA7A6D" w14:textId="05A4C979" w:rsidR="00765B33" w:rsidRDefault="00C15E49" w:rsidP="00765B33">
      <w:pPr>
        <w:pStyle w:val="ListParagraph"/>
        <w:numPr>
          <w:ilvl w:val="0"/>
          <w:numId w:val="41"/>
        </w:numPr>
        <w:spacing w:after="180"/>
        <w:ind w:hanging="436"/>
        <w:jc w:val="both"/>
        <w:rPr>
          <w:lang w:val="ro-MD" w:eastAsia="ro-MD"/>
        </w:rPr>
      </w:pPr>
      <w:bookmarkStart w:id="40" w:name="_Hlk186191652"/>
      <w:r>
        <w:rPr>
          <w:lang w:val="ro-MD" w:eastAsia="ro-MD"/>
        </w:rPr>
        <w:t>Pct. 62 și pct. 63 vor avea următorul cuprins</w:t>
      </w:r>
      <w:bookmarkEnd w:id="40"/>
      <w:r>
        <w:rPr>
          <w:lang w:val="ro-MD" w:eastAsia="ro-MD"/>
        </w:rPr>
        <w:t>:</w:t>
      </w:r>
    </w:p>
    <w:p w14:paraId="784BD95D" w14:textId="77777777" w:rsidR="00C15E49" w:rsidRPr="00C15E49" w:rsidRDefault="00C15E49" w:rsidP="00C15E49">
      <w:pPr>
        <w:spacing w:afterLines="900" w:after="2160"/>
        <w:contextualSpacing/>
        <w:jc w:val="both"/>
        <w:rPr>
          <w:lang w:val="ro-MD" w:eastAsia="ro-MD"/>
        </w:rPr>
      </w:pPr>
      <w:r>
        <w:rPr>
          <w:lang w:val="ro-MD" w:eastAsia="ro-MD"/>
        </w:rPr>
        <w:t>„</w:t>
      </w:r>
      <w:r w:rsidRPr="00C15E49">
        <w:rPr>
          <w:b/>
          <w:bCs/>
          <w:lang w:val="ro-MD" w:eastAsia="ro-MD"/>
        </w:rPr>
        <w:t>62.</w:t>
      </w:r>
      <w:r w:rsidRPr="00C15E49">
        <w:rPr>
          <w:lang w:val="ro-MD" w:eastAsia="ro-MD"/>
        </w:rPr>
        <w:t xml:space="preserve"> Prezentul capitol nu se aplică transferurilor de fonduri efectuate prin utilizarea unui card de plată, a unui instrument de monedă electronică, a unui telefon mobil sau orice alt dispozitiv digital sau informatic preplătit sau de tip </w:t>
      </w:r>
      <w:proofErr w:type="spellStart"/>
      <w:r w:rsidRPr="00C15E49">
        <w:rPr>
          <w:lang w:val="ro-MD" w:eastAsia="ro-MD"/>
        </w:rPr>
        <w:t>postpaid</w:t>
      </w:r>
      <w:proofErr w:type="spellEnd"/>
      <w:r w:rsidRPr="00C15E49">
        <w:rPr>
          <w:lang w:val="ro-MD" w:eastAsia="ro-MD"/>
        </w:rPr>
        <w:t xml:space="preserve">, cu caracteristici similare, în cazul în care sunt îndeplinite următoarele </w:t>
      </w:r>
      <w:proofErr w:type="spellStart"/>
      <w:r w:rsidRPr="00C15E49">
        <w:rPr>
          <w:lang w:val="ro-MD" w:eastAsia="ro-MD"/>
        </w:rPr>
        <w:t>condiţii</w:t>
      </w:r>
      <w:proofErr w:type="spellEnd"/>
      <w:r w:rsidRPr="00C15E49">
        <w:rPr>
          <w:lang w:val="ro-MD" w:eastAsia="ro-MD"/>
        </w:rPr>
        <w:t>:</w:t>
      </w:r>
    </w:p>
    <w:p w14:paraId="10DEC55E" w14:textId="77777777" w:rsidR="00C15E49" w:rsidRPr="00C15E49" w:rsidRDefault="00C15E49" w:rsidP="00C15E49">
      <w:pPr>
        <w:spacing w:afterLines="900" w:after="2160"/>
        <w:contextualSpacing/>
        <w:jc w:val="both"/>
        <w:rPr>
          <w:lang w:val="ro-MD" w:eastAsia="ro-MD"/>
        </w:rPr>
      </w:pPr>
      <w:r w:rsidRPr="00C15E49">
        <w:rPr>
          <w:lang w:val="ro-MD" w:eastAsia="ro-MD"/>
        </w:rPr>
        <w:t xml:space="preserve">1) cardul, instrumentul sau dispozitivul respectiv este utilizat exclusiv pentru a plăti bunuri sau servicii; </w:t>
      </w:r>
      <w:proofErr w:type="spellStart"/>
      <w:r w:rsidRPr="00C15E49">
        <w:rPr>
          <w:lang w:val="ro-MD" w:eastAsia="ro-MD"/>
        </w:rPr>
        <w:t>şi</w:t>
      </w:r>
      <w:proofErr w:type="spellEnd"/>
    </w:p>
    <w:p w14:paraId="4D464EEF" w14:textId="77777777" w:rsidR="00C15E49" w:rsidRPr="00C15E49" w:rsidRDefault="00C15E49" w:rsidP="00C15E49">
      <w:pPr>
        <w:spacing w:afterLines="900" w:after="2160"/>
        <w:contextualSpacing/>
        <w:jc w:val="both"/>
        <w:rPr>
          <w:lang w:val="ro-MD" w:eastAsia="ro-MD"/>
        </w:rPr>
      </w:pPr>
      <w:r w:rsidRPr="00C15E49">
        <w:rPr>
          <w:lang w:val="ro-MD" w:eastAsia="ro-MD"/>
        </w:rPr>
        <w:t xml:space="preserve">2) numărul cardului, instrumentului sau dispozitivului respectiv </w:t>
      </w:r>
      <w:proofErr w:type="spellStart"/>
      <w:r w:rsidRPr="00C15E49">
        <w:rPr>
          <w:lang w:val="ro-MD" w:eastAsia="ro-MD"/>
        </w:rPr>
        <w:t>însoţeşte</w:t>
      </w:r>
      <w:proofErr w:type="spellEnd"/>
      <w:r w:rsidRPr="00C15E49">
        <w:rPr>
          <w:lang w:val="ro-MD" w:eastAsia="ro-MD"/>
        </w:rPr>
        <w:t xml:space="preserve"> toate transferurile care decurg din </w:t>
      </w:r>
      <w:proofErr w:type="spellStart"/>
      <w:r w:rsidRPr="00C15E49">
        <w:rPr>
          <w:lang w:val="ro-MD" w:eastAsia="ro-MD"/>
        </w:rPr>
        <w:t>tranzacţie</w:t>
      </w:r>
      <w:proofErr w:type="spellEnd"/>
      <w:r w:rsidRPr="00C15E49">
        <w:rPr>
          <w:lang w:val="ro-MD" w:eastAsia="ro-MD"/>
        </w:rPr>
        <w:t>.</w:t>
      </w:r>
    </w:p>
    <w:p w14:paraId="1D4F11F9" w14:textId="77777777" w:rsidR="00C15E49" w:rsidRPr="00C15E49" w:rsidRDefault="00C15E49" w:rsidP="00C15E49">
      <w:pPr>
        <w:spacing w:after="180"/>
        <w:jc w:val="both"/>
        <w:rPr>
          <w:lang w:val="ro-MD" w:eastAsia="ro-MD"/>
        </w:rPr>
      </w:pPr>
      <w:r w:rsidRPr="00C15E49">
        <w:rPr>
          <w:lang w:val="ro-MD" w:eastAsia="ro-MD"/>
        </w:rPr>
        <w:t xml:space="preserve">Cu toate acestea, prezentul capitol se aplică atunci când un card de plată, un instrument de monedă electronică, un telefon mobil sau orice alt dispozitiv digital sau informatic preplătit sau de tip </w:t>
      </w:r>
      <w:proofErr w:type="spellStart"/>
      <w:r w:rsidRPr="00C15E49">
        <w:rPr>
          <w:lang w:val="ro-MD" w:eastAsia="ro-MD"/>
        </w:rPr>
        <w:t>postpaid</w:t>
      </w:r>
      <w:proofErr w:type="spellEnd"/>
      <w:r w:rsidRPr="00C15E49">
        <w:rPr>
          <w:lang w:val="ro-MD" w:eastAsia="ro-MD"/>
        </w:rPr>
        <w:t>, cu caracteristici similare, este folosit pentru a efectua un transfer de fonduri între persoane fizice care, în calitate de consumatori, acționează în alte scopuri decât activitatea lor comerciala, de afaceri sau profesională.</w:t>
      </w:r>
    </w:p>
    <w:p w14:paraId="7D714D8D" w14:textId="7B982A81" w:rsidR="00C15E49" w:rsidRPr="00C15E49" w:rsidRDefault="00C15E49" w:rsidP="00C15E49">
      <w:pPr>
        <w:spacing w:afterLines="900" w:after="2160"/>
        <w:contextualSpacing/>
        <w:jc w:val="both"/>
        <w:rPr>
          <w:lang w:val="ro-MD" w:eastAsia="ro-MD"/>
        </w:rPr>
      </w:pPr>
      <w:r w:rsidRPr="00C15E49">
        <w:rPr>
          <w:b/>
          <w:bCs/>
          <w:lang w:val="ro-MD" w:eastAsia="ro-MD"/>
        </w:rPr>
        <w:t>63.</w:t>
      </w:r>
      <w:r w:rsidRPr="00C15E49">
        <w:rPr>
          <w:lang w:val="ro-MD" w:eastAsia="ro-MD"/>
        </w:rPr>
        <w:t xml:space="preserve"> Prezentul capitol nu se aplică unui transfer de fonduri atunci când acesta:</w:t>
      </w:r>
    </w:p>
    <w:p w14:paraId="7EB92117" w14:textId="77777777" w:rsidR="00C15E49" w:rsidRPr="00C15E49" w:rsidRDefault="00C15E49" w:rsidP="00C15E49">
      <w:pPr>
        <w:spacing w:afterLines="900" w:after="2160"/>
        <w:contextualSpacing/>
        <w:jc w:val="both"/>
        <w:rPr>
          <w:lang w:val="ro-MD" w:eastAsia="ro-MD"/>
        </w:rPr>
      </w:pPr>
      <w:r w:rsidRPr="00C15E49">
        <w:rPr>
          <w:lang w:val="ro-MD" w:eastAsia="ro-MD"/>
        </w:rPr>
        <w:t xml:space="preserve">1) implică retragerea de numerar de către plătitor din contul de </w:t>
      </w:r>
      <w:proofErr w:type="spellStart"/>
      <w:r w:rsidRPr="00C15E49">
        <w:rPr>
          <w:lang w:val="ro-MD" w:eastAsia="ro-MD"/>
        </w:rPr>
        <w:t>plăţi</w:t>
      </w:r>
      <w:proofErr w:type="spellEnd"/>
      <w:r w:rsidRPr="00C15E49">
        <w:rPr>
          <w:lang w:val="ro-MD" w:eastAsia="ro-MD"/>
        </w:rPr>
        <w:t xml:space="preserve"> propriu;</w:t>
      </w:r>
    </w:p>
    <w:p w14:paraId="1F376DC3" w14:textId="77777777" w:rsidR="00C15E49" w:rsidRPr="00C15E49" w:rsidRDefault="00C15E49" w:rsidP="00C15E49">
      <w:pPr>
        <w:spacing w:afterLines="900" w:after="2160"/>
        <w:contextualSpacing/>
        <w:jc w:val="both"/>
        <w:rPr>
          <w:lang w:val="ro-MD" w:eastAsia="ro-MD"/>
        </w:rPr>
      </w:pPr>
      <w:r w:rsidRPr="00C15E49">
        <w:rPr>
          <w:lang w:val="ro-MD" w:eastAsia="ro-MD"/>
        </w:rPr>
        <w:t>2) reprezintă un transfer de fonduri către o autoritate publică reprezentând plata impozitelor, a amenzilor sau a altor taxe;</w:t>
      </w:r>
    </w:p>
    <w:p w14:paraId="2C7A95CD" w14:textId="77777777" w:rsidR="00C15E49" w:rsidRPr="00C15E49" w:rsidRDefault="00C15E49" w:rsidP="00C15E49">
      <w:pPr>
        <w:spacing w:afterLines="900" w:after="2160"/>
        <w:contextualSpacing/>
        <w:jc w:val="both"/>
        <w:rPr>
          <w:lang w:val="ro-MD" w:eastAsia="ro-MD"/>
        </w:rPr>
      </w:pPr>
      <w:r w:rsidRPr="00C15E49">
        <w:rPr>
          <w:lang w:val="ro-MD" w:eastAsia="ro-MD"/>
        </w:rPr>
        <w:t>3) este efectuat între prestatori de servicii de plată, în calitate de plătitor și beneficiar al plății, care acționează în nume propriu;</w:t>
      </w:r>
    </w:p>
    <w:p w14:paraId="75D1A9A5" w14:textId="47E46812" w:rsidR="00C15E49" w:rsidRDefault="00C15E49" w:rsidP="00C15E49">
      <w:pPr>
        <w:spacing w:after="180"/>
        <w:jc w:val="both"/>
        <w:rPr>
          <w:lang w:val="ro-MD" w:eastAsia="ro-MD"/>
        </w:rPr>
      </w:pPr>
      <w:r w:rsidRPr="00C15E49">
        <w:rPr>
          <w:lang w:val="ro-MD" w:eastAsia="ro-MD"/>
        </w:rPr>
        <w:t>4) este efectuat prin schimburi de imagini ale cecurilor, inclusiv cecuri trunchiate.</w:t>
      </w:r>
      <w:r>
        <w:rPr>
          <w:lang w:val="ro-MD" w:eastAsia="ro-MD"/>
        </w:rPr>
        <w:t>”.</w:t>
      </w:r>
    </w:p>
    <w:p w14:paraId="6A0B7A62" w14:textId="1E949DF8" w:rsidR="00C15E49" w:rsidRDefault="00C15E49" w:rsidP="00C15E49">
      <w:pPr>
        <w:spacing w:after="180"/>
        <w:ind w:firstLine="284"/>
        <w:jc w:val="both"/>
        <w:rPr>
          <w:lang w:val="ro-MD" w:eastAsia="ro-MD"/>
        </w:rPr>
      </w:pPr>
      <w:r>
        <w:rPr>
          <w:lang w:val="ro-MD" w:eastAsia="ro-MD"/>
        </w:rPr>
        <w:t>3)</w:t>
      </w:r>
      <w:r>
        <w:rPr>
          <w:lang w:val="ro-MD" w:eastAsia="ro-MD"/>
        </w:rPr>
        <w:tab/>
      </w:r>
      <w:bookmarkStart w:id="41" w:name="_Hlk186191791"/>
      <w:r>
        <w:rPr>
          <w:lang w:val="ro-MD" w:eastAsia="ro-MD"/>
        </w:rPr>
        <w:t>Se completează cu pct.63</w:t>
      </w:r>
      <w:r>
        <w:rPr>
          <w:vertAlign w:val="superscript"/>
          <w:lang w:val="ro-MD" w:eastAsia="ro-MD"/>
        </w:rPr>
        <w:t>1</w:t>
      </w:r>
      <w:r>
        <w:rPr>
          <w:lang w:val="ro-MD" w:eastAsia="ro-MD"/>
        </w:rPr>
        <w:t xml:space="preserve"> cu următorul cuprins:</w:t>
      </w:r>
    </w:p>
    <w:bookmarkEnd w:id="41"/>
    <w:p w14:paraId="0D4F6526" w14:textId="77777777" w:rsidR="00C15E49" w:rsidRPr="00C15E49" w:rsidRDefault="00C15E49" w:rsidP="00C15E49">
      <w:pPr>
        <w:spacing w:afterLines="900" w:after="2160"/>
        <w:contextualSpacing/>
        <w:jc w:val="both"/>
        <w:rPr>
          <w:lang w:val="ro-MD" w:eastAsia="ro-MD"/>
        </w:rPr>
      </w:pPr>
      <w:r>
        <w:rPr>
          <w:lang w:val="ro-MD" w:eastAsia="ro-MD"/>
        </w:rPr>
        <w:t>„</w:t>
      </w:r>
      <w:r w:rsidRPr="00C15E49">
        <w:rPr>
          <w:b/>
          <w:bCs/>
          <w:lang w:val="ro-MD" w:eastAsia="ro-MD"/>
        </w:rPr>
        <w:t>63</w:t>
      </w:r>
      <w:r w:rsidRPr="00C15E49">
        <w:rPr>
          <w:b/>
          <w:bCs/>
          <w:vertAlign w:val="superscript"/>
          <w:lang w:val="ro-MD" w:eastAsia="ro-MD"/>
        </w:rPr>
        <w:t>1</w:t>
      </w:r>
      <w:r w:rsidRPr="00C15E49">
        <w:rPr>
          <w:b/>
          <w:bCs/>
          <w:lang w:val="ro-MD" w:eastAsia="ro-MD"/>
        </w:rPr>
        <w:t xml:space="preserve">. </w:t>
      </w:r>
      <w:r w:rsidRPr="00C15E49">
        <w:rPr>
          <w:lang w:val="ro-MD" w:eastAsia="ro-MD"/>
        </w:rPr>
        <w:t>Prezentul capitol nu se aplică:</w:t>
      </w:r>
    </w:p>
    <w:p w14:paraId="39E80DAA" w14:textId="77777777" w:rsidR="00C15E49" w:rsidRPr="00C15E49" w:rsidRDefault="00C15E49" w:rsidP="00C15E49">
      <w:pPr>
        <w:spacing w:afterLines="900" w:after="2160"/>
        <w:contextualSpacing/>
        <w:jc w:val="both"/>
        <w:rPr>
          <w:lang w:val="ro-MD" w:eastAsia="ro-MD"/>
        </w:rPr>
      </w:pPr>
      <w:r w:rsidRPr="00C15E49">
        <w:rPr>
          <w:lang w:val="ro-MD" w:eastAsia="ro-MD"/>
        </w:rPr>
        <w:t xml:space="preserve">1) serviciilor enumerate la art. 2 alin. (2) </w:t>
      </w:r>
      <w:proofErr w:type="spellStart"/>
      <w:r w:rsidRPr="00C15E49">
        <w:rPr>
          <w:lang w:val="ro-MD" w:eastAsia="ro-MD"/>
        </w:rPr>
        <w:t>subpct</w:t>
      </w:r>
      <w:proofErr w:type="spellEnd"/>
      <w:r w:rsidRPr="00C15E49">
        <w:rPr>
          <w:lang w:val="ro-MD" w:eastAsia="ro-MD"/>
        </w:rPr>
        <w:t>. 1)-13) și 15) din Legea nr. 114/2012 cu privire la serviciile de plată și moneda electronică;</w:t>
      </w:r>
    </w:p>
    <w:p w14:paraId="4474B4DF" w14:textId="1CED6E6E" w:rsidR="00C15E49" w:rsidRDefault="00C15E49" w:rsidP="00C15E49">
      <w:pPr>
        <w:spacing w:after="180"/>
        <w:jc w:val="both"/>
        <w:rPr>
          <w:lang w:val="ro-MD" w:eastAsia="ro-MD"/>
        </w:rPr>
      </w:pPr>
      <w:r w:rsidRPr="00C15E49">
        <w:rPr>
          <w:lang w:val="ro-MD" w:eastAsia="ro-MD"/>
        </w:rPr>
        <w:t>2) prestatorilor de servicii tehnice care acționează în temeiul unui contract încheiat cu un prestator de servicii de plată ș care nu au nici o activitate în afară de cea de a transforma documentele pe suport hârtie în date în format electronic, precum și cea de a furniza prestatorilor de servicii de plată sisteme de mesagerie ori alte sisteme de suport pentru transmiterea fondurilor sau sisteme de compensare și decontare.</w:t>
      </w:r>
      <w:r>
        <w:rPr>
          <w:lang w:val="ro-MD" w:eastAsia="ro-MD"/>
        </w:rPr>
        <w:t>”.</w:t>
      </w:r>
    </w:p>
    <w:p w14:paraId="5EDCAE21" w14:textId="13C37339" w:rsidR="00C15E49" w:rsidRDefault="00C15E49" w:rsidP="00C15E49">
      <w:pPr>
        <w:spacing w:after="180"/>
        <w:ind w:firstLine="284"/>
        <w:jc w:val="both"/>
        <w:rPr>
          <w:lang w:val="ro-MD" w:eastAsia="ro-MD"/>
        </w:rPr>
      </w:pPr>
      <w:r>
        <w:rPr>
          <w:lang w:val="ro-MD" w:eastAsia="ro-MD"/>
        </w:rPr>
        <w:t>4)</w:t>
      </w:r>
      <w:r>
        <w:rPr>
          <w:lang w:val="ro-MD" w:eastAsia="ro-MD"/>
        </w:rPr>
        <w:tab/>
        <w:t>Pct. 64, pct. 65 și pct. 67 vor avea următorul cuprins:</w:t>
      </w:r>
    </w:p>
    <w:p w14:paraId="74A24D5A" w14:textId="77777777" w:rsidR="00C15E49" w:rsidRPr="00C15E49" w:rsidRDefault="00C15E49" w:rsidP="00C15E49">
      <w:pPr>
        <w:spacing w:afterLines="900" w:after="2160"/>
        <w:contextualSpacing/>
        <w:jc w:val="both"/>
        <w:rPr>
          <w:lang w:val="ro-MD" w:eastAsia="ro-MD"/>
        </w:rPr>
      </w:pPr>
      <w:r>
        <w:rPr>
          <w:lang w:val="ro-MD" w:eastAsia="ro-MD"/>
        </w:rPr>
        <w:t>„</w:t>
      </w:r>
      <w:r w:rsidRPr="00C15E49">
        <w:rPr>
          <w:b/>
          <w:bCs/>
          <w:lang w:val="ro-MD" w:eastAsia="ro-MD"/>
        </w:rPr>
        <w:t>64.</w:t>
      </w:r>
      <w:r w:rsidRPr="00C15E49">
        <w:rPr>
          <w:lang w:val="ro-MD" w:eastAsia="ro-MD"/>
        </w:rPr>
        <w:t xml:space="preserve"> Prestatorul plătitorului se asigură ca transferurile de fonduri sunt </w:t>
      </w:r>
      <w:proofErr w:type="spellStart"/>
      <w:r w:rsidRPr="00C15E49">
        <w:rPr>
          <w:lang w:val="ro-MD" w:eastAsia="ro-MD"/>
        </w:rPr>
        <w:t>însoţite</w:t>
      </w:r>
      <w:proofErr w:type="spellEnd"/>
      <w:r w:rsidRPr="00C15E49">
        <w:rPr>
          <w:lang w:val="ro-MD" w:eastAsia="ro-MD"/>
        </w:rPr>
        <w:t xml:space="preserve"> de următoarele </w:t>
      </w:r>
      <w:proofErr w:type="spellStart"/>
      <w:r w:rsidRPr="00C15E49">
        <w:rPr>
          <w:lang w:val="ro-MD" w:eastAsia="ro-MD"/>
        </w:rPr>
        <w:t>informaţii</w:t>
      </w:r>
      <w:proofErr w:type="spellEnd"/>
      <w:r w:rsidRPr="00C15E49">
        <w:rPr>
          <w:lang w:val="ro-MD" w:eastAsia="ro-MD"/>
        </w:rPr>
        <w:t xml:space="preserve"> cu privire la plătitor:</w:t>
      </w:r>
    </w:p>
    <w:p w14:paraId="117E7A79" w14:textId="77777777" w:rsidR="00C15E49" w:rsidRPr="00C15E49" w:rsidRDefault="00C15E49" w:rsidP="00C15E49">
      <w:pPr>
        <w:spacing w:afterLines="900" w:after="2160"/>
        <w:contextualSpacing/>
        <w:jc w:val="both"/>
        <w:rPr>
          <w:lang w:val="ro-MD" w:eastAsia="ro-MD"/>
        </w:rPr>
      </w:pPr>
      <w:r w:rsidRPr="00C15E49">
        <w:rPr>
          <w:lang w:val="ro-MD" w:eastAsia="ro-MD"/>
        </w:rPr>
        <w:t>1) numele plătitorului (denumirea/numele și prenumele);</w:t>
      </w:r>
    </w:p>
    <w:p w14:paraId="3C2D2257" w14:textId="77777777" w:rsidR="00C15E49" w:rsidRPr="00C15E49" w:rsidRDefault="00C15E49" w:rsidP="00C15E49">
      <w:pPr>
        <w:spacing w:afterLines="900" w:after="2160"/>
        <w:contextualSpacing/>
        <w:jc w:val="both"/>
        <w:rPr>
          <w:lang w:val="ro-MD" w:eastAsia="ro-MD"/>
        </w:rPr>
      </w:pPr>
      <w:r w:rsidRPr="00C15E49">
        <w:rPr>
          <w:lang w:val="ro-MD" w:eastAsia="ro-MD"/>
        </w:rPr>
        <w:lastRenderedPageBreak/>
        <w:t xml:space="preserve">2) numărul de cont de </w:t>
      </w:r>
      <w:proofErr w:type="spellStart"/>
      <w:r w:rsidRPr="00C15E49">
        <w:rPr>
          <w:lang w:val="ro-MD" w:eastAsia="ro-MD"/>
        </w:rPr>
        <w:t>plăţi</w:t>
      </w:r>
      <w:proofErr w:type="spellEnd"/>
      <w:r w:rsidRPr="00C15E49">
        <w:rPr>
          <w:lang w:val="ro-MD" w:eastAsia="ro-MD"/>
        </w:rPr>
        <w:t xml:space="preserve"> al plătitorului;</w:t>
      </w:r>
    </w:p>
    <w:p w14:paraId="2A8B27CB" w14:textId="77777777" w:rsidR="00C15E49" w:rsidRPr="00C15E49" w:rsidRDefault="00C15E49" w:rsidP="00C15E49">
      <w:pPr>
        <w:spacing w:afterLines="900" w:after="2160"/>
        <w:contextualSpacing/>
        <w:jc w:val="both"/>
        <w:rPr>
          <w:lang w:val="ro-MD" w:eastAsia="ro-MD"/>
        </w:rPr>
      </w:pPr>
      <w:r w:rsidRPr="00C15E49">
        <w:rPr>
          <w:lang w:val="ro-MD" w:eastAsia="ro-MD"/>
        </w:rPr>
        <w:t xml:space="preserve">3) adresa plătitorului, inclusiv denumirea țării, numărul actului de identitate și numărul de identificare al clientului (de ex. IDNP/IDNO) sau, alternativ, data </w:t>
      </w:r>
      <w:proofErr w:type="spellStart"/>
      <w:r w:rsidRPr="00C15E49">
        <w:rPr>
          <w:lang w:val="ro-MD" w:eastAsia="ro-MD"/>
        </w:rPr>
        <w:t>şi</w:t>
      </w:r>
      <w:proofErr w:type="spellEnd"/>
      <w:r w:rsidRPr="00C15E49">
        <w:rPr>
          <w:lang w:val="ro-MD" w:eastAsia="ro-MD"/>
        </w:rPr>
        <w:t xml:space="preserve"> locul </w:t>
      </w:r>
      <w:proofErr w:type="spellStart"/>
      <w:r w:rsidRPr="00C15E49">
        <w:rPr>
          <w:lang w:val="ro-MD" w:eastAsia="ro-MD"/>
        </w:rPr>
        <w:t>naşterii</w:t>
      </w:r>
      <w:proofErr w:type="spellEnd"/>
      <w:r w:rsidRPr="00C15E49">
        <w:rPr>
          <w:lang w:val="ro-MD" w:eastAsia="ro-MD"/>
        </w:rPr>
        <w:t xml:space="preserve"> plătitorului;</w:t>
      </w:r>
    </w:p>
    <w:p w14:paraId="37825576" w14:textId="77777777" w:rsidR="00C15E49" w:rsidRPr="00C15E49" w:rsidRDefault="00C15E49" w:rsidP="00C15E49">
      <w:pPr>
        <w:spacing w:after="180"/>
        <w:jc w:val="both"/>
        <w:rPr>
          <w:lang w:val="ro-RO" w:eastAsia="ro-MD"/>
        </w:rPr>
      </w:pPr>
      <w:r w:rsidRPr="00C15E49">
        <w:rPr>
          <w:lang w:val="ro-MD" w:eastAsia="ro-MD"/>
        </w:rPr>
        <w:t>4) LEI actual al plătitorului, sub rezerva existenței câmpului necesar în formatul mesajului de pată relevant și în cazul în care plătitorul furnizează această informație sau, în lipsa LEI, orice identificator oficial echivalent disponibil.</w:t>
      </w:r>
    </w:p>
    <w:p w14:paraId="1E156AFB" w14:textId="77777777" w:rsidR="00C15E49" w:rsidRPr="00C15E49" w:rsidRDefault="00C15E49" w:rsidP="00C15E49">
      <w:pPr>
        <w:spacing w:afterLines="900" w:after="2160"/>
        <w:contextualSpacing/>
        <w:jc w:val="both"/>
        <w:rPr>
          <w:lang w:val="ro-MD" w:eastAsia="ro-MD"/>
        </w:rPr>
      </w:pPr>
      <w:r w:rsidRPr="00C15E49">
        <w:rPr>
          <w:b/>
          <w:bCs/>
          <w:lang w:val="ro-MD" w:eastAsia="ro-MD"/>
        </w:rPr>
        <w:t>65.</w:t>
      </w:r>
      <w:r w:rsidRPr="00C15E49">
        <w:rPr>
          <w:lang w:val="ro-MD" w:eastAsia="ro-MD"/>
        </w:rPr>
        <w:t xml:space="preserve"> Prestatorul plătitorului se asigură ca transferul de fonduri este </w:t>
      </w:r>
      <w:proofErr w:type="spellStart"/>
      <w:r w:rsidRPr="00C15E49">
        <w:rPr>
          <w:lang w:val="ro-MD" w:eastAsia="ro-MD"/>
        </w:rPr>
        <w:t>însoţit</w:t>
      </w:r>
      <w:proofErr w:type="spellEnd"/>
      <w:r w:rsidRPr="00C15E49">
        <w:rPr>
          <w:lang w:val="ro-MD" w:eastAsia="ro-MD"/>
        </w:rPr>
        <w:t xml:space="preserve"> de următoarele </w:t>
      </w:r>
      <w:proofErr w:type="spellStart"/>
      <w:r w:rsidRPr="00C15E49">
        <w:rPr>
          <w:lang w:val="ro-MD" w:eastAsia="ro-MD"/>
        </w:rPr>
        <w:t>informaţii</w:t>
      </w:r>
      <w:proofErr w:type="spellEnd"/>
      <w:r w:rsidRPr="00C15E49">
        <w:rPr>
          <w:lang w:val="ro-MD" w:eastAsia="ro-MD"/>
        </w:rPr>
        <w:t xml:space="preserve"> cu privire la beneficiarul </w:t>
      </w:r>
      <w:proofErr w:type="spellStart"/>
      <w:r w:rsidRPr="00C15E49">
        <w:rPr>
          <w:lang w:val="ro-MD" w:eastAsia="ro-MD"/>
        </w:rPr>
        <w:t>plăţii</w:t>
      </w:r>
      <w:proofErr w:type="spellEnd"/>
      <w:r w:rsidRPr="00C15E49">
        <w:rPr>
          <w:lang w:val="ro-MD" w:eastAsia="ro-MD"/>
        </w:rPr>
        <w:t>:</w:t>
      </w:r>
    </w:p>
    <w:p w14:paraId="36B5F43A" w14:textId="77777777" w:rsidR="00C15E49" w:rsidRPr="00C15E49" w:rsidRDefault="00C15E49" w:rsidP="00C15E49">
      <w:pPr>
        <w:spacing w:afterLines="900" w:after="2160"/>
        <w:contextualSpacing/>
        <w:jc w:val="both"/>
        <w:rPr>
          <w:lang w:val="ro-MD" w:eastAsia="ro-MD"/>
        </w:rPr>
      </w:pPr>
      <w:r w:rsidRPr="00C15E49">
        <w:rPr>
          <w:lang w:val="ro-MD" w:eastAsia="ro-MD"/>
        </w:rPr>
        <w:t xml:space="preserve">1) numele (denumirea/numele </w:t>
      </w:r>
      <w:proofErr w:type="spellStart"/>
      <w:r w:rsidRPr="00C15E49">
        <w:rPr>
          <w:lang w:val="ro-MD" w:eastAsia="ro-MD"/>
        </w:rPr>
        <w:t>şi</w:t>
      </w:r>
      <w:proofErr w:type="spellEnd"/>
      <w:r w:rsidRPr="00C15E49">
        <w:rPr>
          <w:lang w:val="ro-MD" w:eastAsia="ro-MD"/>
        </w:rPr>
        <w:t xml:space="preserve"> prenumele) beneficiarului </w:t>
      </w:r>
      <w:proofErr w:type="spellStart"/>
      <w:r w:rsidRPr="00C15E49">
        <w:rPr>
          <w:lang w:val="ro-MD" w:eastAsia="ro-MD"/>
        </w:rPr>
        <w:t>plăţii</w:t>
      </w:r>
      <w:proofErr w:type="spellEnd"/>
      <w:r w:rsidRPr="00C15E49">
        <w:rPr>
          <w:lang w:val="ro-MD" w:eastAsia="ro-MD"/>
        </w:rPr>
        <w:t>;</w:t>
      </w:r>
    </w:p>
    <w:p w14:paraId="7D673520" w14:textId="77777777" w:rsidR="00C15E49" w:rsidRPr="00C15E49" w:rsidRDefault="00C15E49" w:rsidP="00C15E49">
      <w:pPr>
        <w:spacing w:afterLines="900" w:after="2160"/>
        <w:contextualSpacing/>
        <w:jc w:val="both"/>
        <w:rPr>
          <w:lang w:val="ro-MD" w:eastAsia="ro-MD"/>
        </w:rPr>
      </w:pPr>
      <w:r w:rsidRPr="00C15E49">
        <w:rPr>
          <w:lang w:val="ro-MD" w:eastAsia="ro-MD"/>
        </w:rPr>
        <w:t xml:space="preserve">2) numărul de cont de </w:t>
      </w:r>
      <w:proofErr w:type="spellStart"/>
      <w:r w:rsidRPr="00C15E49">
        <w:rPr>
          <w:lang w:val="ro-MD" w:eastAsia="ro-MD"/>
        </w:rPr>
        <w:t>plăţi</w:t>
      </w:r>
      <w:proofErr w:type="spellEnd"/>
      <w:r w:rsidRPr="00C15E49">
        <w:rPr>
          <w:lang w:val="ro-MD" w:eastAsia="ro-MD"/>
        </w:rPr>
        <w:t xml:space="preserve"> al beneficiarului </w:t>
      </w:r>
      <w:proofErr w:type="spellStart"/>
      <w:r w:rsidRPr="00C15E49">
        <w:rPr>
          <w:lang w:val="ro-MD" w:eastAsia="ro-MD"/>
        </w:rPr>
        <w:t>plăţii</w:t>
      </w:r>
      <w:proofErr w:type="spellEnd"/>
      <w:r w:rsidRPr="00C15E49">
        <w:rPr>
          <w:lang w:val="ro-MD" w:eastAsia="ro-MD"/>
        </w:rPr>
        <w:t>; și</w:t>
      </w:r>
    </w:p>
    <w:p w14:paraId="7B6E0794" w14:textId="77777777" w:rsidR="00C15E49" w:rsidRPr="00C15E49" w:rsidRDefault="00C15E49" w:rsidP="00C15E49">
      <w:pPr>
        <w:spacing w:after="180"/>
        <w:jc w:val="both"/>
        <w:rPr>
          <w:lang w:val="ro-MD" w:eastAsia="ro-MD"/>
        </w:rPr>
      </w:pPr>
      <w:r w:rsidRPr="00C15E49">
        <w:rPr>
          <w:lang w:val="ro-MD" w:eastAsia="ro-MD"/>
        </w:rPr>
        <w:t xml:space="preserve">3) </w:t>
      </w:r>
      <w:r w:rsidRPr="00C15E49">
        <w:rPr>
          <w:lang w:val="ro-RO" w:eastAsia="ro-MD"/>
        </w:rPr>
        <w:t>LEI actual al beneficiarului plății, sub rezerva existenței câmpului necesar în formatul mesajului de plată relevant și în cazul în care plătitorul furnizează această informație sau, în lipsa LEI, orice identificator oficial echivalent disponibil.</w:t>
      </w:r>
    </w:p>
    <w:p w14:paraId="0DA30EEE" w14:textId="5E951FFC" w:rsidR="00C15E49" w:rsidRDefault="00C15E49" w:rsidP="00C15E49">
      <w:pPr>
        <w:spacing w:after="180"/>
        <w:jc w:val="both"/>
        <w:rPr>
          <w:lang w:val="ro-MD" w:eastAsia="ro-MD"/>
        </w:rPr>
      </w:pPr>
      <w:r w:rsidRPr="00C15E49">
        <w:rPr>
          <w:b/>
          <w:bCs/>
          <w:lang w:val="ro-MD" w:eastAsia="ro-MD"/>
        </w:rPr>
        <w:t>67.</w:t>
      </w:r>
      <w:r w:rsidRPr="00C15E49">
        <w:rPr>
          <w:lang w:val="ro-MD" w:eastAsia="ro-MD"/>
        </w:rPr>
        <w:t xml:space="preserve"> Înainte de a transfera fondurile, prestatorul plătitorului verifică exactitatea </w:t>
      </w:r>
      <w:proofErr w:type="spellStart"/>
      <w:r w:rsidRPr="00C15E49">
        <w:rPr>
          <w:lang w:val="ro-MD" w:eastAsia="ro-MD"/>
        </w:rPr>
        <w:t>informaţiilor</w:t>
      </w:r>
      <w:proofErr w:type="spellEnd"/>
      <w:r w:rsidRPr="00C15E49">
        <w:rPr>
          <w:lang w:val="ro-MD" w:eastAsia="ro-MD"/>
        </w:rPr>
        <w:t xml:space="preserve"> </w:t>
      </w:r>
      <w:proofErr w:type="spellStart"/>
      <w:r w:rsidRPr="00C15E49">
        <w:rPr>
          <w:lang w:val="ro-MD" w:eastAsia="ro-MD"/>
        </w:rPr>
        <w:t>menţionate</w:t>
      </w:r>
      <w:proofErr w:type="spellEnd"/>
      <w:r w:rsidRPr="00C15E49">
        <w:rPr>
          <w:lang w:val="ro-MD" w:eastAsia="ro-MD"/>
        </w:rPr>
        <w:t xml:space="preserve"> la pct.64 și, dacă este cazul, la pct. 66, pe baza documentelor, a datelor sau a </w:t>
      </w:r>
      <w:proofErr w:type="spellStart"/>
      <w:r w:rsidRPr="00C15E49">
        <w:rPr>
          <w:lang w:val="ro-MD" w:eastAsia="ro-MD"/>
        </w:rPr>
        <w:t>informaţiilor</w:t>
      </w:r>
      <w:proofErr w:type="spellEnd"/>
      <w:r w:rsidRPr="00C15E49">
        <w:rPr>
          <w:lang w:val="ro-MD" w:eastAsia="ro-MD"/>
        </w:rPr>
        <w:t xml:space="preserve"> </w:t>
      </w:r>
      <w:proofErr w:type="spellStart"/>
      <w:r w:rsidRPr="00C15E49">
        <w:rPr>
          <w:lang w:val="ro-MD" w:eastAsia="ro-MD"/>
        </w:rPr>
        <w:t>obţinute</w:t>
      </w:r>
      <w:proofErr w:type="spellEnd"/>
      <w:r w:rsidRPr="00C15E49">
        <w:rPr>
          <w:lang w:val="ro-MD" w:eastAsia="ro-MD"/>
        </w:rPr>
        <w:t xml:space="preserve"> dintr-o sursă fiabilă </w:t>
      </w:r>
      <w:proofErr w:type="spellStart"/>
      <w:r w:rsidRPr="00C15E49">
        <w:rPr>
          <w:lang w:val="ro-MD" w:eastAsia="ro-MD"/>
        </w:rPr>
        <w:t>şi</w:t>
      </w:r>
      <w:proofErr w:type="spellEnd"/>
      <w:r w:rsidRPr="00C15E49">
        <w:rPr>
          <w:lang w:val="ro-MD" w:eastAsia="ro-MD"/>
        </w:rPr>
        <w:t xml:space="preserve"> independentă, </w:t>
      </w:r>
      <w:proofErr w:type="spellStart"/>
      <w:r w:rsidRPr="00C15E49">
        <w:rPr>
          <w:lang w:val="ro-MD" w:eastAsia="ro-MD"/>
        </w:rPr>
        <w:t>ţinînd</w:t>
      </w:r>
      <w:proofErr w:type="spellEnd"/>
      <w:r w:rsidRPr="00C15E49">
        <w:rPr>
          <w:lang w:val="ro-MD" w:eastAsia="ro-MD"/>
        </w:rPr>
        <w:t xml:space="preserve"> cont de prevederile prezentului Regulament.</w:t>
      </w:r>
      <w:r>
        <w:rPr>
          <w:lang w:val="ro-MD" w:eastAsia="ro-MD"/>
        </w:rPr>
        <w:t>”.</w:t>
      </w:r>
    </w:p>
    <w:p w14:paraId="1AF1E54F" w14:textId="24525F16" w:rsidR="00C15E49" w:rsidRDefault="00C15E49" w:rsidP="00C15E49">
      <w:pPr>
        <w:spacing w:after="180"/>
        <w:ind w:firstLine="284"/>
        <w:jc w:val="both"/>
        <w:rPr>
          <w:lang w:val="ro-MD" w:eastAsia="ro-MD"/>
        </w:rPr>
      </w:pPr>
      <w:r>
        <w:rPr>
          <w:lang w:val="ro-MD" w:eastAsia="ro-MD"/>
        </w:rPr>
        <w:t>5)</w:t>
      </w:r>
      <w:r>
        <w:rPr>
          <w:lang w:val="ro-MD" w:eastAsia="ro-MD"/>
        </w:rPr>
        <w:tab/>
      </w:r>
      <w:bookmarkStart w:id="42" w:name="_Hlk186191905"/>
      <w:r>
        <w:rPr>
          <w:lang w:val="ro-MD" w:eastAsia="ro-MD"/>
        </w:rPr>
        <w:t>Se completează cu pct.67</w:t>
      </w:r>
      <w:r>
        <w:rPr>
          <w:vertAlign w:val="superscript"/>
          <w:lang w:val="ro-MD" w:eastAsia="ro-MD"/>
        </w:rPr>
        <w:t>1</w:t>
      </w:r>
      <w:r>
        <w:rPr>
          <w:lang w:val="ro-MD" w:eastAsia="ro-MD"/>
        </w:rPr>
        <w:t xml:space="preserve"> cu următorul cuprins:</w:t>
      </w:r>
    </w:p>
    <w:bookmarkEnd w:id="42"/>
    <w:p w14:paraId="7F770077" w14:textId="77777777" w:rsidR="00C15E49" w:rsidRDefault="00C15E49" w:rsidP="00C15E49">
      <w:pPr>
        <w:spacing w:after="180"/>
        <w:jc w:val="both"/>
        <w:rPr>
          <w:lang w:val="ro-MD" w:eastAsia="ro-MD"/>
        </w:rPr>
      </w:pPr>
      <w:r>
        <w:rPr>
          <w:lang w:val="ro-MD" w:eastAsia="ro-MD"/>
        </w:rPr>
        <w:t>„</w:t>
      </w:r>
      <w:r w:rsidRPr="00C15E49">
        <w:rPr>
          <w:b/>
          <w:bCs/>
          <w:lang w:val="ro-MD" w:eastAsia="ro-MD"/>
        </w:rPr>
        <w:t>67</w:t>
      </w:r>
      <w:r w:rsidRPr="00C15E49">
        <w:rPr>
          <w:b/>
          <w:bCs/>
          <w:vertAlign w:val="superscript"/>
          <w:lang w:val="ro-MD" w:eastAsia="ro-MD"/>
        </w:rPr>
        <w:t>1</w:t>
      </w:r>
      <w:r w:rsidRPr="00C15E49">
        <w:rPr>
          <w:lang w:val="ro-MD" w:eastAsia="ro-MD"/>
        </w:rPr>
        <w:t>. Obligația de verificare a exactității informațiilor cu privire la plătitor menționată la pct. 67 se consideră a fi îndeplinită dacă prestatorul plătitorului aplică măsuri de precauție pentru verificare identității plătitorului, actualizează și păstrează informația privind plătitorul în conformitate cu prevederile Cap. V-VII și XI din prezentul Regulament.</w:t>
      </w:r>
      <w:r>
        <w:rPr>
          <w:lang w:val="ro-MD" w:eastAsia="ro-MD"/>
        </w:rPr>
        <w:t>”.</w:t>
      </w:r>
    </w:p>
    <w:p w14:paraId="1861F8A3" w14:textId="7FB7FD97" w:rsidR="00C15E49" w:rsidRDefault="00C15E49" w:rsidP="00C15E49">
      <w:pPr>
        <w:spacing w:after="180"/>
        <w:ind w:firstLine="284"/>
        <w:jc w:val="both"/>
        <w:rPr>
          <w:lang w:val="ro-MD" w:eastAsia="ro-MD"/>
        </w:rPr>
      </w:pPr>
      <w:r>
        <w:rPr>
          <w:lang w:val="ro-MD" w:eastAsia="ro-MD"/>
        </w:rPr>
        <w:t>6)</w:t>
      </w:r>
      <w:r>
        <w:rPr>
          <w:lang w:val="ro-MD" w:eastAsia="ro-MD"/>
        </w:rPr>
        <w:tab/>
        <w:t>Pct.68 va avea următorul cuprins:</w:t>
      </w:r>
    </w:p>
    <w:p w14:paraId="75945E79" w14:textId="3A60A96A" w:rsidR="00C15E49" w:rsidRDefault="00C15E49" w:rsidP="00C15E49">
      <w:pPr>
        <w:spacing w:after="180"/>
        <w:jc w:val="both"/>
        <w:rPr>
          <w:lang w:val="ro-MD" w:eastAsia="ro-MD"/>
        </w:rPr>
      </w:pPr>
      <w:r>
        <w:rPr>
          <w:lang w:val="ro-MD" w:eastAsia="ro-MD"/>
        </w:rPr>
        <w:t>„</w:t>
      </w:r>
      <w:r w:rsidRPr="00C15E49">
        <w:rPr>
          <w:b/>
          <w:bCs/>
          <w:lang w:val="ro-MD" w:eastAsia="ro-MD"/>
        </w:rPr>
        <w:t>68.</w:t>
      </w:r>
      <w:r w:rsidRPr="00C15E49">
        <w:rPr>
          <w:lang w:val="ro-MD" w:eastAsia="ro-MD"/>
        </w:rPr>
        <w:t xml:space="preserve"> Prin derogare de la pct. 64 și, după caz, fără a aduce atingere informațiilor necesare în conformitate cu Regulamentul cu privire la transferul de credit, debitare directă și atribuirea codurilor IBAN, aprobat prin Hotărârea Comitetului Executiv al Băncii Naționale a Moldovei nr. 108/2023, în cazul în care prestatorul de servicii de plată al beneficiarului plății este stabilit în afara Republicii Moldova, prestatorul asigură că transfer de fonduri  internațional a cărui valoare nu depășește echivalentul a 20000 lei și care nu pare a fi legat de alte transferuri de fonduri care, împreună cu transferul în cauză, ar depăși echivalentul a 20000 lei este însoțit, cel puțin, de </w:t>
      </w:r>
      <w:proofErr w:type="spellStart"/>
      <w:r w:rsidRPr="00C15E49">
        <w:rPr>
          <w:lang w:val="ro-MD" w:eastAsia="ro-MD"/>
        </w:rPr>
        <w:t>informaţii</w:t>
      </w:r>
      <w:proofErr w:type="spellEnd"/>
      <w:r w:rsidRPr="00C15E49">
        <w:rPr>
          <w:lang w:val="ro-MD" w:eastAsia="ro-MD"/>
        </w:rPr>
        <w:t xml:space="preserve"> privind numele plătitorului </w:t>
      </w:r>
      <w:proofErr w:type="spellStart"/>
      <w:r w:rsidRPr="00C15E49">
        <w:rPr>
          <w:lang w:val="ro-MD" w:eastAsia="ro-MD"/>
        </w:rPr>
        <w:t>şi</w:t>
      </w:r>
      <w:proofErr w:type="spellEnd"/>
      <w:r w:rsidRPr="00C15E49">
        <w:rPr>
          <w:lang w:val="ro-MD" w:eastAsia="ro-MD"/>
        </w:rPr>
        <w:t xml:space="preserve"> al beneficiarului </w:t>
      </w:r>
      <w:proofErr w:type="spellStart"/>
      <w:r w:rsidRPr="00C15E49">
        <w:rPr>
          <w:lang w:val="ro-MD" w:eastAsia="ro-MD"/>
        </w:rPr>
        <w:t>plăţii</w:t>
      </w:r>
      <w:proofErr w:type="spellEnd"/>
      <w:r w:rsidRPr="00C15E49">
        <w:rPr>
          <w:lang w:val="ro-MD" w:eastAsia="ro-MD"/>
        </w:rPr>
        <w:t xml:space="preserve">, </w:t>
      </w:r>
      <w:proofErr w:type="spellStart"/>
      <w:r w:rsidRPr="00C15E49">
        <w:rPr>
          <w:lang w:val="ro-MD" w:eastAsia="ro-MD"/>
        </w:rPr>
        <w:t>şi</w:t>
      </w:r>
      <w:proofErr w:type="spellEnd"/>
      <w:r w:rsidRPr="00C15E49">
        <w:rPr>
          <w:lang w:val="ro-MD" w:eastAsia="ro-MD"/>
        </w:rPr>
        <w:t xml:space="preserve"> numărul de cont  al plătitorului și al beneficiarului plății sau, în cazul aplicabilității pct. 66, codul unic de identificare a </w:t>
      </w:r>
      <w:proofErr w:type="spellStart"/>
      <w:r w:rsidRPr="00C15E49">
        <w:rPr>
          <w:lang w:val="ro-MD" w:eastAsia="ro-MD"/>
        </w:rPr>
        <w:t>operaţiunii</w:t>
      </w:r>
      <w:proofErr w:type="spellEnd"/>
      <w:r w:rsidRPr="00C15E49">
        <w:rPr>
          <w:lang w:val="ro-MD" w:eastAsia="ro-MD"/>
        </w:rPr>
        <w:t>.</w:t>
      </w:r>
      <w:r w:rsidR="000324BB">
        <w:rPr>
          <w:lang w:val="ro-MD" w:eastAsia="ro-MD"/>
        </w:rPr>
        <w:t>”.</w:t>
      </w:r>
    </w:p>
    <w:p w14:paraId="51C36783" w14:textId="22AAB725" w:rsidR="000324BB" w:rsidRPr="000324BB" w:rsidRDefault="000324BB" w:rsidP="000324BB">
      <w:pPr>
        <w:spacing w:after="180"/>
        <w:ind w:firstLine="284"/>
        <w:jc w:val="both"/>
        <w:rPr>
          <w:lang w:val="ro-MD" w:eastAsia="ro-MD"/>
        </w:rPr>
      </w:pPr>
      <w:r>
        <w:rPr>
          <w:lang w:val="ro-MD" w:eastAsia="ro-MD"/>
        </w:rPr>
        <w:t>7)</w:t>
      </w:r>
      <w:r>
        <w:rPr>
          <w:lang w:val="ro-MD" w:eastAsia="ro-MD"/>
        </w:rPr>
        <w:tab/>
      </w:r>
      <w:bookmarkStart w:id="43" w:name="_Hlk186192063"/>
      <w:r w:rsidRPr="000324BB">
        <w:rPr>
          <w:lang w:val="ro-MD" w:eastAsia="ro-MD"/>
        </w:rPr>
        <w:t>Se completează cu pct.6</w:t>
      </w:r>
      <w:r>
        <w:rPr>
          <w:lang w:val="ro-MD" w:eastAsia="ro-MD"/>
        </w:rPr>
        <w:t>8</w:t>
      </w:r>
      <w:r w:rsidRPr="000324BB">
        <w:rPr>
          <w:vertAlign w:val="superscript"/>
          <w:lang w:val="ro-MD" w:eastAsia="ro-MD"/>
        </w:rPr>
        <w:t>1</w:t>
      </w:r>
      <w:r w:rsidRPr="000324BB">
        <w:rPr>
          <w:lang w:val="ro-MD" w:eastAsia="ro-MD"/>
        </w:rPr>
        <w:t xml:space="preserve"> cu următorul cuprins:</w:t>
      </w:r>
    </w:p>
    <w:bookmarkEnd w:id="43"/>
    <w:p w14:paraId="2D249BA8" w14:textId="76690FAA" w:rsidR="000324BB" w:rsidRPr="000324BB" w:rsidRDefault="000324BB" w:rsidP="000324BB">
      <w:pPr>
        <w:spacing w:afterLines="900" w:after="2160"/>
        <w:contextualSpacing/>
        <w:jc w:val="both"/>
        <w:rPr>
          <w:lang w:val="ro-MD" w:eastAsia="ro-MD"/>
        </w:rPr>
      </w:pPr>
      <w:r>
        <w:rPr>
          <w:lang w:val="ro-MD" w:eastAsia="ro-MD"/>
        </w:rPr>
        <w:t>„</w:t>
      </w:r>
      <w:r w:rsidRPr="000324BB">
        <w:rPr>
          <w:b/>
          <w:bCs/>
          <w:lang w:val="ro-MD" w:eastAsia="ro-MD"/>
        </w:rPr>
        <w:t>68</w:t>
      </w:r>
      <w:r w:rsidRPr="000324BB">
        <w:rPr>
          <w:b/>
          <w:bCs/>
          <w:vertAlign w:val="superscript"/>
          <w:lang w:val="ro-MD" w:eastAsia="ro-MD"/>
        </w:rPr>
        <w:t>1</w:t>
      </w:r>
      <w:r w:rsidRPr="000324BB">
        <w:rPr>
          <w:lang w:val="ro-MD" w:eastAsia="ro-MD"/>
        </w:rPr>
        <w:t>. Prin derogare de la pct.67, în situația prevăzută la pct.68, prestatorul plătitorului are obligația de a verifica informațiile referitoare la plătitor doar când acesta:</w:t>
      </w:r>
    </w:p>
    <w:p w14:paraId="70745904" w14:textId="77777777" w:rsidR="000324BB" w:rsidRPr="000324BB" w:rsidRDefault="000324BB" w:rsidP="000324BB">
      <w:pPr>
        <w:spacing w:afterLines="900" w:after="2160"/>
        <w:contextualSpacing/>
        <w:jc w:val="both"/>
        <w:rPr>
          <w:lang w:val="ro-RO" w:eastAsia="ro-MD"/>
        </w:rPr>
      </w:pPr>
      <w:r w:rsidRPr="000324BB">
        <w:rPr>
          <w:lang w:val="ro-MD" w:eastAsia="ro-MD"/>
        </w:rPr>
        <w:t xml:space="preserve">1) </w:t>
      </w:r>
      <w:r w:rsidRPr="000324BB">
        <w:rPr>
          <w:lang w:val="ro-RO" w:eastAsia="ro-MD"/>
        </w:rPr>
        <w:t xml:space="preserve">a primit fondurile care fac obiectul transferului în numerar sau </w:t>
      </w:r>
      <w:r w:rsidRPr="000324BB">
        <w:rPr>
          <w:lang w:val="ro-MD" w:eastAsia="ro-MD"/>
        </w:rPr>
        <w:t>în monedă electronică anonimă</w:t>
      </w:r>
      <w:r w:rsidRPr="000324BB">
        <w:rPr>
          <w:lang w:val="ro-RO" w:eastAsia="ro-MD"/>
        </w:rPr>
        <w:t>; sau</w:t>
      </w:r>
    </w:p>
    <w:p w14:paraId="3A87D841" w14:textId="4AC230E3" w:rsidR="000324BB" w:rsidRDefault="000324BB" w:rsidP="000324BB">
      <w:pPr>
        <w:spacing w:after="180"/>
        <w:jc w:val="both"/>
        <w:rPr>
          <w:lang w:val="ro-RO" w:eastAsia="ro-MD"/>
        </w:rPr>
      </w:pPr>
      <w:r w:rsidRPr="000324BB">
        <w:rPr>
          <w:lang w:val="ro-RO" w:eastAsia="ro-MD"/>
        </w:rPr>
        <w:t>2) are motive întemeiate să suspecteze o activitate de spălare a banilor sau finanțare a terorismului.</w:t>
      </w:r>
      <w:r>
        <w:rPr>
          <w:lang w:val="ro-RO" w:eastAsia="ro-MD"/>
        </w:rPr>
        <w:t>”.</w:t>
      </w:r>
    </w:p>
    <w:p w14:paraId="118EDFC3" w14:textId="527404A5" w:rsidR="000324BB" w:rsidRDefault="000324BB" w:rsidP="000324BB">
      <w:pPr>
        <w:spacing w:after="180"/>
        <w:ind w:firstLine="284"/>
        <w:jc w:val="both"/>
        <w:rPr>
          <w:lang w:val="ro-MD" w:eastAsia="ro-MD"/>
        </w:rPr>
      </w:pPr>
      <w:r>
        <w:rPr>
          <w:lang w:val="ro-RO" w:eastAsia="ro-MD"/>
        </w:rPr>
        <w:t>8)</w:t>
      </w:r>
      <w:r>
        <w:rPr>
          <w:lang w:val="ro-RO" w:eastAsia="ro-MD"/>
        </w:rPr>
        <w:tab/>
        <w:t>La pct. 69, după textul „</w:t>
      </w:r>
      <w:r w:rsidRPr="000324BB">
        <w:rPr>
          <w:lang w:val="ro-MD" w:eastAsia="ro-MD"/>
        </w:rPr>
        <w:t>în conformitate cu pct.67</w:t>
      </w:r>
      <w:r>
        <w:rPr>
          <w:lang w:val="ro-MD" w:eastAsia="ro-MD"/>
        </w:rPr>
        <w:t>” se completează cu textul „</w:t>
      </w:r>
      <w:r w:rsidRPr="000324BB">
        <w:rPr>
          <w:lang w:val="ro-MD" w:eastAsia="ro-MD"/>
        </w:rPr>
        <w:t>și 67</w:t>
      </w:r>
      <w:r w:rsidRPr="000324BB">
        <w:rPr>
          <w:vertAlign w:val="superscript"/>
          <w:lang w:val="ro-MD" w:eastAsia="ro-MD"/>
        </w:rPr>
        <w:t>1</w:t>
      </w:r>
      <w:r>
        <w:rPr>
          <w:lang w:val="ro-MD" w:eastAsia="ro-MD"/>
        </w:rPr>
        <w:t>”.</w:t>
      </w:r>
    </w:p>
    <w:p w14:paraId="3E220CF5" w14:textId="7620D78F" w:rsidR="000324BB" w:rsidRDefault="000324BB" w:rsidP="000324BB">
      <w:pPr>
        <w:spacing w:after="180"/>
        <w:ind w:firstLine="284"/>
        <w:jc w:val="both"/>
        <w:rPr>
          <w:lang w:val="ro-MD" w:eastAsia="ro-MD"/>
        </w:rPr>
      </w:pPr>
      <w:r>
        <w:rPr>
          <w:lang w:val="ro-RO" w:eastAsia="ro-MD"/>
        </w:rPr>
        <w:t>9)</w:t>
      </w:r>
      <w:r>
        <w:rPr>
          <w:lang w:val="ro-RO" w:eastAsia="ro-MD"/>
        </w:rPr>
        <w:tab/>
      </w:r>
      <w:bookmarkStart w:id="44" w:name="_Hlk186192472"/>
      <w:r w:rsidRPr="000324BB">
        <w:rPr>
          <w:lang w:val="ro-MD" w:eastAsia="ro-MD"/>
        </w:rPr>
        <w:t>Se completează cu pct.6</w:t>
      </w:r>
      <w:r>
        <w:rPr>
          <w:lang w:val="ro-MD" w:eastAsia="ro-MD"/>
        </w:rPr>
        <w:t>9</w:t>
      </w:r>
      <w:r w:rsidRPr="000324BB">
        <w:rPr>
          <w:vertAlign w:val="superscript"/>
          <w:lang w:val="ro-MD" w:eastAsia="ro-MD"/>
        </w:rPr>
        <w:t>1</w:t>
      </w:r>
      <w:r w:rsidRPr="000324BB">
        <w:rPr>
          <w:lang w:val="ro-MD" w:eastAsia="ro-MD"/>
        </w:rPr>
        <w:t xml:space="preserve"> cu următorul cuprins:</w:t>
      </w:r>
    </w:p>
    <w:bookmarkEnd w:id="44"/>
    <w:p w14:paraId="5A57361A" w14:textId="77777777" w:rsidR="000324BB" w:rsidRPr="000324BB" w:rsidRDefault="000324BB" w:rsidP="000324BB">
      <w:pPr>
        <w:spacing w:after="180"/>
        <w:jc w:val="both"/>
        <w:rPr>
          <w:lang w:val="ro-RO" w:eastAsia="ro-MD"/>
        </w:rPr>
      </w:pPr>
      <w:r>
        <w:rPr>
          <w:lang w:val="ro-MD" w:eastAsia="ro-MD"/>
        </w:rPr>
        <w:lastRenderedPageBreak/>
        <w:t>„</w:t>
      </w:r>
      <w:r w:rsidRPr="000324BB">
        <w:rPr>
          <w:b/>
          <w:bCs/>
          <w:lang w:val="ro-MD" w:eastAsia="ro-MD"/>
        </w:rPr>
        <w:t>69</w:t>
      </w:r>
      <w:r w:rsidRPr="000324BB">
        <w:rPr>
          <w:b/>
          <w:bCs/>
          <w:vertAlign w:val="superscript"/>
          <w:lang w:val="ro-MD" w:eastAsia="ro-MD"/>
        </w:rPr>
        <w:t>1</w:t>
      </w:r>
      <w:r w:rsidRPr="000324BB">
        <w:rPr>
          <w:lang w:val="ro-MD" w:eastAsia="ro-MD"/>
        </w:rPr>
        <w:t xml:space="preserve">. Prin derogare de la pct. 64 și 65 și, după caz, fără a aduce atingere informațiilor necesare </w:t>
      </w:r>
      <w:r w:rsidRPr="000324BB">
        <w:rPr>
          <w:lang w:val="ro-RO" w:eastAsia="ro-MD"/>
        </w:rPr>
        <w:t>în conformitate cu Regulamentul cu privire la transferul de credit, debitare directă și atribuirea codurilor IBAN, aprobat prin Hotărârea Comitetului Executiv al Băncii Naționale a Moldovei nr. 108/2023, atunci când toți prestatorii de servicii de plată implicați în lanțul de plată sunt stabiliți pe teritoriul Republicii Moldova, transferurile de fonduri sunt însoțite cel puțin de numărul de cont de plăți al plătitorului și al beneficiarului plății sau, în cazul aplicabilității pct. 66, de codul unic de identificare a tranzacției. În acest caz, în termen de cel mult trei zile lucrătoare de la primirea unei cereri de informații de la prestatorul de servicii de plată al beneficiarului plății sau a prestatorului intermediar, prestatorul plătitorului va pune la dispoziție următoarele informații:</w:t>
      </w:r>
    </w:p>
    <w:p w14:paraId="5EC365F9" w14:textId="77777777" w:rsidR="000324BB" w:rsidRPr="000324BB" w:rsidRDefault="000324BB" w:rsidP="000324BB">
      <w:pPr>
        <w:spacing w:afterLines="900" w:after="2160"/>
        <w:contextualSpacing/>
        <w:jc w:val="both"/>
        <w:rPr>
          <w:lang w:val="ro-RO" w:eastAsia="ro-MD"/>
        </w:rPr>
      </w:pPr>
      <w:r w:rsidRPr="000324BB">
        <w:rPr>
          <w:lang w:val="ro-RO" w:eastAsia="ro-MD"/>
        </w:rPr>
        <w:t>1) privind plătitorul și beneficiarul plății în conformitate cu pct. 64-66, în cazul transferului de fonduri care depășește suma de 20000 lei sau echivalentul acesteia, indiferent dacă transferul respectiv este efectuat printr-o singură tranzacție sau mai multe tranzacții care par să fie legate;</w:t>
      </w:r>
    </w:p>
    <w:p w14:paraId="092BFC31" w14:textId="19F1518E" w:rsidR="000324BB" w:rsidRDefault="000324BB" w:rsidP="000324BB">
      <w:pPr>
        <w:spacing w:after="180"/>
        <w:jc w:val="both"/>
        <w:rPr>
          <w:lang w:val="ro-RO" w:eastAsia="ro-MD"/>
        </w:rPr>
      </w:pPr>
      <w:r w:rsidRPr="000324BB">
        <w:rPr>
          <w:lang w:val="ro-RO" w:eastAsia="ro-MD"/>
        </w:rPr>
        <w:t xml:space="preserve">2) numele plătitorului și al beneficiarului plății și numărul de cont de plăți al plătitorului și al beneficiarului plății sau, la aplicabilitatea pct. 66, codul unic de identificare a tranzacției, pentru transferurile de fonduri care nu depășesc limita stabilita la </w:t>
      </w:r>
      <w:proofErr w:type="spellStart"/>
      <w:r w:rsidRPr="000324BB">
        <w:rPr>
          <w:lang w:val="ro-RO" w:eastAsia="ro-MD"/>
        </w:rPr>
        <w:t>subpct</w:t>
      </w:r>
      <w:proofErr w:type="spellEnd"/>
      <w:r w:rsidRPr="000324BB">
        <w:rPr>
          <w:lang w:val="ro-RO" w:eastAsia="ro-MD"/>
        </w:rPr>
        <w:t>. 1). În acest caz, obligația de verificare a informației privind plătitorul corespunde cu cea prevăzută la pct. 68</w:t>
      </w:r>
      <w:r w:rsidRPr="000324BB">
        <w:rPr>
          <w:vertAlign w:val="superscript"/>
          <w:lang w:val="ro-RO" w:eastAsia="ro-MD"/>
        </w:rPr>
        <w:t>1</w:t>
      </w:r>
      <w:r w:rsidRPr="000324BB">
        <w:rPr>
          <w:lang w:val="ro-RO" w:eastAsia="ro-MD"/>
        </w:rPr>
        <w:t>.</w:t>
      </w:r>
      <w:r>
        <w:rPr>
          <w:lang w:val="ro-RO" w:eastAsia="ro-MD"/>
        </w:rPr>
        <w:t>”.</w:t>
      </w:r>
    </w:p>
    <w:p w14:paraId="6095F64C" w14:textId="132D01FF" w:rsidR="000324BB" w:rsidRPr="000324BB" w:rsidRDefault="000324BB" w:rsidP="000324BB">
      <w:pPr>
        <w:spacing w:before="240" w:afterLines="900" w:after="2160"/>
        <w:ind w:firstLine="284"/>
        <w:contextualSpacing/>
        <w:jc w:val="both"/>
        <w:rPr>
          <w:lang w:val="ro-RO" w:eastAsia="ro-MD"/>
        </w:rPr>
      </w:pPr>
      <w:r>
        <w:rPr>
          <w:lang w:val="ro-RO" w:eastAsia="ro-MD"/>
        </w:rPr>
        <w:t>10)</w:t>
      </w:r>
      <w:r>
        <w:rPr>
          <w:lang w:val="ro-RO" w:eastAsia="ro-MD"/>
        </w:rPr>
        <w:tab/>
      </w:r>
      <w:bookmarkStart w:id="45" w:name="_Hlk186192716"/>
      <w:r>
        <w:rPr>
          <w:lang w:val="ro-RO" w:eastAsia="ro-MD"/>
        </w:rPr>
        <w:t>Pct.70 și pct.71 vor avea următorul cuprins:</w:t>
      </w:r>
      <w:bookmarkEnd w:id="45"/>
    </w:p>
    <w:p w14:paraId="6F2B8135" w14:textId="7308B5CD" w:rsidR="000324BB" w:rsidRPr="000324BB" w:rsidRDefault="000324BB" w:rsidP="000324BB">
      <w:pPr>
        <w:spacing w:before="240" w:afterLines="900" w:after="2160"/>
        <w:contextualSpacing/>
        <w:jc w:val="both"/>
        <w:rPr>
          <w:lang w:val="ro-RO" w:eastAsia="ro-MD"/>
        </w:rPr>
      </w:pPr>
      <w:r>
        <w:rPr>
          <w:b/>
          <w:bCs/>
          <w:lang w:val="ro-MD" w:eastAsia="ro-MD"/>
        </w:rPr>
        <w:t>„</w:t>
      </w:r>
      <w:r w:rsidRPr="000324BB">
        <w:rPr>
          <w:b/>
          <w:bCs/>
          <w:lang w:val="ro-MD" w:eastAsia="ro-MD"/>
        </w:rPr>
        <w:t>70.</w:t>
      </w:r>
      <w:r w:rsidRPr="000324BB">
        <w:rPr>
          <w:lang w:val="ro-MD" w:eastAsia="ro-MD"/>
        </w:rPr>
        <w:t xml:space="preserve"> Prestatorul nu va efectua transferul de fonduri dacă nu este asigurată respectarea deplină a </w:t>
      </w:r>
      <w:proofErr w:type="spellStart"/>
      <w:r w:rsidRPr="000324BB">
        <w:rPr>
          <w:lang w:val="ro-MD" w:eastAsia="ro-MD"/>
        </w:rPr>
        <w:t>cerinţelor</w:t>
      </w:r>
      <w:proofErr w:type="spellEnd"/>
      <w:r w:rsidRPr="000324BB">
        <w:rPr>
          <w:lang w:val="ro-MD" w:eastAsia="ro-MD"/>
        </w:rPr>
        <w:t xml:space="preserve"> pct.64-69</w:t>
      </w:r>
      <w:r w:rsidRPr="000324BB">
        <w:rPr>
          <w:vertAlign w:val="superscript"/>
          <w:lang w:val="ro-MD" w:eastAsia="ro-MD"/>
        </w:rPr>
        <w:t>1</w:t>
      </w:r>
      <w:r w:rsidRPr="000324BB">
        <w:rPr>
          <w:lang w:val="ro-MD" w:eastAsia="ro-MD"/>
        </w:rPr>
        <w:t>.</w:t>
      </w:r>
    </w:p>
    <w:p w14:paraId="1A367107" w14:textId="0F52C1C4" w:rsidR="000324BB" w:rsidRDefault="000324BB" w:rsidP="000324BB">
      <w:pPr>
        <w:spacing w:before="240"/>
        <w:jc w:val="both"/>
        <w:rPr>
          <w:lang w:val="ro-MD" w:eastAsia="ro-MD"/>
        </w:rPr>
      </w:pPr>
      <w:r w:rsidRPr="000324BB">
        <w:rPr>
          <w:b/>
          <w:bCs/>
          <w:lang w:val="ro-MD" w:eastAsia="ro-MD"/>
        </w:rPr>
        <w:t>71.</w:t>
      </w:r>
      <w:r w:rsidRPr="000324BB">
        <w:rPr>
          <w:lang w:val="ro-MD" w:eastAsia="ro-MD"/>
        </w:rPr>
        <w:t xml:space="preserve"> Prestatorul beneficiarului </w:t>
      </w:r>
      <w:proofErr w:type="spellStart"/>
      <w:r w:rsidRPr="000324BB">
        <w:rPr>
          <w:lang w:val="ro-MD" w:eastAsia="ro-MD"/>
        </w:rPr>
        <w:t>plăţii</w:t>
      </w:r>
      <w:proofErr w:type="spellEnd"/>
      <w:r w:rsidRPr="000324BB">
        <w:rPr>
          <w:lang w:val="ro-MD" w:eastAsia="ro-MD"/>
        </w:rPr>
        <w:t xml:space="preserve"> instituie și aplică proceduri eficace, inclusiv, acolo unde este cazul, controlul după efectuarea transferurilor sau controlul în cursul efectuării acestora, pentru a depista dacă </w:t>
      </w:r>
      <w:proofErr w:type="spellStart"/>
      <w:r w:rsidRPr="000324BB">
        <w:rPr>
          <w:lang w:val="ro-MD" w:eastAsia="ro-MD"/>
        </w:rPr>
        <w:t>cîmpurile</w:t>
      </w:r>
      <w:proofErr w:type="spellEnd"/>
      <w:r w:rsidRPr="000324BB">
        <w:rPr>
          <w:lang w:val="ro-MD" w:eastAsia="ro-MD"/>
        </w:rPr>
        <w:t xml:space="preserve"> referitoare la </w:t>
      </w:r>
      <w:proofErr w:type="spellStart"/>
      <w:r w:rsidRPr="000324BB">
        <w:rPr>
          <w:lang w:val="ro-MD" w:eastAsia="ro-MD"/>
        </w:rPr>
        <w:t>informaţiile</w:t>
      </w:r>
      <w:proofErr w:type="spellEnd"/>
      <w:r w:rsidRPr="000324BB">
        <w:rPr>
          <w:lang w:val="ro-MD" w:eastAsia="ro-MD"/>
        </w:rPr>
        <w:t xml:space="preserve"> privind plătitorul </w:t>
      </w:r>
      <w:proofErr w:type="spellStart"/>
      <w:r w:rsidRPr="000324BB">
        <w:rPr>
          <w:lang w:val="ro-MD" w:eastAsia="ro-MD"/>
        </w:rPr>
        <w:t>şi</w:t>
      </w:r>
      <w:proofErr w:type="spellEnd"/>
      <w:r w:rsidRPr="000324BB">
        <w:rPr>
          <w:lang w:val="ro-MD" w:eastAsia="ro-MD"/>
        </w:rPr>
        <w:t xml:space="preserve"> beneficiarul </w:t>
      </w:r>
      <w:proofErr w:type="spellStart"/>
      <w:r w:rsidRPr="000324BB">
        <w:rPr>
          <w:lang w:val="ro-MD" w:eastAsia="ro-MD"/>
        </w:rPr>
        <w:t>plăţii</w:t>
      </w:r>
      <w:proofErr w:type="spellEnd"/>
      <w:r w:rsidRPr="000324BB">
        <w:rPr>
          <w:lang w:val="ro-MD" w:eastAsia="ro-MD"/>
        </w:rPr>
        <w:t xml:space="preserve"> din sistemul de mesagerie sau de plată </w:t>
      </w:r>
      <w:proofErr w:type="spellStart"/>
      <w:r w:rsidRPr="000324BB">
        <w:rPr>
          <w:lang w:val="ro-MD" w:eastAsia="ro-MD"/>
        </w:rPr>
        <w:t>şi</w:t>
      </w:r>
      <w:proofErr w:type="spellEnd"/>
      <w:r w:rsidRPr="000324BB">
        <w:rPr>
          <w:lang w:val="ro-MD" w:eastAsia="ro-MD"/>
        </w:rPr>
        <w:t xml:space="preserve"> decontare utilizat pentru efectuarea transferului de mijloace </w:t>
      </w:r>
      <w:proofErr w:type="spellStart"/>
      <w:r w:rsidRPr="000324BB">
        <w:rPr>
          <w:lang w:val="ro-MD" w:eastAsia="ro-MD"/>
        </w:rPr>
        <w:t>băneşti</w:t>
      </w:r>
      <w:proofErr w:type="spellEnd"/>
      <w:r w:rsidRPr="000324BB">
        <w:rPr>
          <w:lang w:val="ro-MD" w:eastAsia="ro-MD"/>
        </w:rPr>
        <w:t xml:space="preserve"> au fost completate folosind caractere sau elemente compatibile în conformitate cu convențiile sistemului respectiv și în corespundere cu </w:t>
      </w:r>
      <w:proofErr w:type="spellStart"/>
      <w:r w:rsidRPr="000324BB">
        <w:rPr>
          <w:lang w:val="ro-MD" w:eastAsia="ro-MD"/>
        </w:rPr>
        <w:t>cerinţele</w:t>
      </w:r>
      <w:proofErr w:type="spellEnd"/>
      <w:r w:rsidRPr="000324BB">
        <w:rPr>
          <w:lang w:val="ro-MD" w:eastAsia="ro-MD"/>
        </w:rPr>
        <w:t xml:space="preserve"> pct.64 sub</w:t>
      </w:r>
      <w:r w:rsidR="003E417F">
        <w:rPr>
          <w:lang w:val="ro-MD" w:eastAsia="ro-MD"/>
        </w:rPr>
        <w:t>pct.</w:t>
      </w:r>
      <w:r w:rsidRPr="000324BB">
        <w:rPr>
          <w:lang w:val="ro-MD" w:eastAsia="ro-MD"/>
        </w:rPr>
        <w:t>1)-3), 65 subpct.1)-2), 66, 68, 69 și 69</w:t>
      </w:r>
      <w:r w:rsidRPr="000324BB">
        <w:rPr>
          <w:vertAlign w:val="superscript"/>
          <w:lang w:val="ro-MD" w:eastAsia="ro-MD"/>
        </w:rPr>
        <w:t>1</w:t>
      </w:r>
      <w:r w:rsidRPr="000324BB">
        <w:rPr>
          <w:lang w:val="ro-MD" w:eastAsia="ro-MD"/>
        </w:rPr>
        <w:t xml:space="preserve"> din prezentul Regulament.</w:t>
      </w:r>
      <w:r>
        <w:rPr>
          <w:lang w:val="ro-MD" w:eastAsia="ro-MD"/>
        </w:rPr>
        <w:t xml:space="preserve">”. </w:t>
      </w:r>
    </w:p>
    <w:p w14:paraId="663E1F06" w14:textId="77777777" w:rsidR="000324BB" w:rsidRDefault="000324BB" w:rsidP="000324BB">
      <w:pPr>
        <w:spacing w:before="240"/>
        <w:jc w:val="both"/>
        <w:rPr>
          <w:lang w:val="ro-MD" w:eastAsia="ro-MD"/>
        </w:rPr>
      </w:pPr>
    </w:p>
    <w:p w14:paraId="0461B8BD" w14:textId="73DD97DB" w:rsidR="000324BB" w:rsidRDefault="000324BB" w:rsidP="00C1241E">
      <w:pPr>
        <w:spacing w:after="180"/>
        <w:ind w:firstLine="284"/>
        <w:jc w:val="both"/>
        <w:rPr>
          <w:lang w:val="ro-MD" w:eastAsia="ro-MD"/>
        </w:rPr>
      </w:pPr>
      <w:r>
        <w:rPr>
          <w:lang w:val="ro-MD" w:eastAsia="ro-MD"/>
        </w:rPr>
        <w:t>11)</w:t>
      </w:r>
      <w:r>
        <w:rPr>
          <w:lang w:val="ro-MD" w:eastAsia="ro-MD"/>
        </w:rPr>
        <w:tab/>
      </w:r>
      <w:bookmarkStart w:id="46" w:name="_Hlk186192682"/>
      <w:r w:rsidRPr="000324BB">
        <w:rPr>
          <w:lang w:val="ro-MD" w:eastAsia="ro-MD"/>
        </w:rPr>
        <w:t>Se completează cu pct.</w:t>
      </w:r>
      <w:r w:rsidR="00C1241E">
        <w:rPr>
          <w:lang w:val="ro-MD" w:eastAsia="ro-MD"/>
        </w:rPr>
        <w:t>71</w:t>
      </w:r>
      <w:r w:rsidRPr="000324BB">
        <w:rPr>
          <w:vertAlign w:val="superscript"/>
          <w:lang w:val="ro-MD" w:eastAsia="ro-MD"/>
        </w:rPr>
        <w:t>1</w:t>
      </w:r>
      <w:r w:rsidRPr="000324BB">
        <w:rPr>
          <w:lang w:val="ro-MD" w:eastAsia="ro-MD"/>
        </w:rPr>
        <w:t xml:space="preserve"> cu următorul cuprins:</w:t>
      </w:r>
      <w:bookmarkEnd w:id="46"/>
    </w:p>
    <w:p w14:paraId="7E4674E2" w14:textId="043324FB" w:rsidR="00C1241E" w:rsidRDefault="00C1241E" w:rsidP="00C1241E">
      <w:pPr>
        <w:spacing w:after="180"/>
        <w:jc w:val="both"/>
        <w:rPr>
          <w:lang w:val="ro-MD" w:eastAsia="ro-MD"/>
        </w:rPr>
      </w:pPr>
      <w:r>
        <w:rPr>
          <w:b/>
          <w:bCs/>
          <w:lang w:val="ro-MD" w:eastAsia="ro-MD"/>
        </w:rPr>
        <w:t>„</w:t>
      </w:r>
      <w:r w:rsidRPr="00C1241E">
        <w:rPr>
          <w:b/>
          <w:bCs/>
          <w:lang w:val="ro-MD" w:eastAsia="ro-MD"/>
        </w:rPr>
        <w:t>71</w:t>
      </w:r>
      <w:r w:rsidRPr="00C1241E">
        <w:rPr>
          <w:b/>
          <w:bCs/>
          <w:vertAlign w:val="superscript"/>
          <w:lang w:val="ro-MD" w:eastAsia="ro-MD"/>
        </w:rPr>
        <w:t>1</w:t>
      </w:r>
      <w:r w:rsidRPr="00C1241E">
        <w:rPr>
          <w:lang w:val="ro-MD" w:eastAsia="ro-MD"/>
        </w:rPr>
        <w:t xml:space="preserve">. În cazul transferurilor de fonduri în valoare ce depășește echivalentul a 20000 lei, indiferent dacă transferurile respective sunt efectuate printr-o singură tranzacție sau mai multe tranzacții care par a avea o legătură între ele, prestatorul beneficiarului plății, înainte de înregistrarea transferului de fonduri în contul beneficiarului plății sau de a pune fondurile la dispoziția acestuia, verifică exactitatea informațiilor privind beneficiarul plății menționate la pct. 65 </w:t>
      </w:r>
      <w:proofErr w:type="spellStart"/>
      <w:r w:rsidRPr="00C1241E">
        <w:rPr>
          <w:lang w:val="ro-MD" w:eastAsia="ro-MD"/>
        </w:rPr>
        <w:t>subpct</w:t>
      </w:r>
      <w:proofErr w:type="spellEnd"/>
      <w:r w:rsidRPr="00C1241E">
        <w:rPr>
          <w:lang w:val="ro-MD" w:eastAsia="ro-MD"/>
        </w:rPr>
        <w:t>. 1)-2). 66, 68, 69 și 69</w:t>
      </w:r>
      <w:r w:rsidRPr="00C1241E">
        <w:rPr>
          <w:vertAlign w:val="superscript"/>
          <w:lang w:val="ro-MD" w:eastAsia="ro-MD"/>
        </w:rPr>
        <w:t>1</w:t>
      </w:r>
      <w:r w:rsidRPr="00C1241E">
        <w:rPr>
          <w:lang w:val="ro-MD" w:eastAsia="ro-MD"/>
        </w:rPr>
        <w:t xml:space="preserve"> pe baza documentelor, a datelor sau informațiilor obținute dintr-o sursa credibilă și independentă, ținând cont de prevederile prezentului Regulament.</w:t>
      </w:r>
      <w:r>
        <w:rPr>
          <w:lang w:val="ro-MD" w:eastAsia="ro-MD"/>
        </w:rPr>
        <w:t>”.</w:t>
      </w:r>
    </w:p>
    <w:p w14:paraId="60869C5B" w14:textId="40B23EB9" w:rsidR="00C1241E" w:rsidRDefault="00C1241E" w:rsidP="00C1241E">
      <w:pPr>
        <w:spacing w:after="180"/>
        <w:ind w:firstLine="284"/>
        <w:jc w:val="both"/>
        <w:rPr>
          <w:lang w:val="ro-MD" w:eastAsia="ro-MD"/>
        </w:rPr>
      </w:pPr>
      <w:r>
        <w:rPr>
          <w:lang w:val="ro-MD" w:eastAsia="ro-MD"/>
        </w:rPr>
        <w:t>12)</w:t>
      </w:r>
      <w:r>
        <w:rPr>
          <w:lang w:val="ro-MD" w:eastAsia="ro-MD"/>
        </w:rPr>
        <w:tab/>
        <w:t>Pct.72 va avea următorul cuprins:</w:t>
      </w:r>
    </w:p>
    <w:p w14:paraId="677C4B89" w14:textId="77777777" w:rsidR="00C1241E" w:rsidRPr="00C1241E" w:rsidRDefault="00C1241E" w:rsidP="00C1241E">
      <w:pPr>
        <w:spacing w:afterLines="900" w:after="2160"/>
        <w:contextualSpacing/>
        <w:jc w:val="both"/>
        <w:rPr>
          <w:lang w:val="ro-MD" w:eastAsia="ro-MD"/>
        </w:rPr>
      </w:pPr>
      <w:r>
        <w:rPr>
          <w:lang w:val="ro-MD" w:eastAsia="ro-MD"/>
        </w:rPr>
        <w:t>„</w:t>
      </w:r>
      <w:r w:rsidRPr="00C1241E">
        <w:rPr>
          <w:b/>
          <w:bCs/>
          <w:lang w:val="ro-MD" w:eastAsia="ro-MD"/>
        </w:rPr>
        <w:t>72.</w:t>
      </w:r>
      <w:r w:rsidRPr="00C1241E">
        <w:rPr>
          <w:lang w:val="ro-MD" w:eastAsia="ro-MD"/>
        </w:rPr>
        <w:t xml:space="preserve"> În cazul transferurilor de fonduri care nu depășesc limita stabilită la pct. 71</w:t>
      </w:r>
      <w:r w:rsidRPr="00C1241E">
        <w:rPr>
          <w:vertAlign w:val="superscript"/>
          <w:lang w:val="ro-MD" w:eastAsia="ro-MD"/>
        </w:rPr>
        <w:t>1</w:t>
      </w:r>
      <w:r w:rsidRPr="00C1241E">
        <w:rPr>
          <w:lang w:val="ro-MD" w:eastAsia="ro-MD"/>
        </w:rPr>
        <w:t xml:space="preserve">, prestatorul beneficiarului </w:t>
      </w:r>
      <w:proofErr w:type="spellStart"/>
      <w:r w:rsidRPr="00C1241E">
        <w:rPr>
          <w:lang w:val="ro-MD" w:eastAsia="ro-MD"/>
        </w:rPr>
        <w:t>plăţii</w:t>
      </w:r>
      <w:proofErr w:type="spellEnd"/>
      <w:r w:rsidRPr="00C1241E">
        <w:rPr>
          <w:lang w:val="ro-MD" w:eastAsia="ro-MD"/>
        </w:rPr>
        <w:t xml:space="preserve"> verifică plenitudinea </w:t>
      </w:r>
      <w:proofErr w:type="spellStart"/>
      <w:r w:rsidRPr="00C1241E">
        <w:rPr>
          <w:lang w:val="ro-MD" w:eastAsia="ro-MD"/>
        </w:rPr>
        <w:t>şi</w:t>
      </w:r>
      <w:proofErr w:type="spellEnd"/>
      <w:r w:rsidRPr="00C1241E">
        <w:rPr>
          <w:lang w:val="ro-MD" w:eastAsia="ro-MD"/>
        </w:rPr>
        <w:t xml:space="preserve"> exactitatea </w:t>
      </w:r>
      <w:proofErr w:type="spellStart"/>
      <w:r w:rsidRPr="00C1241E">
        <w:rPr>
          <w:lang w:val="ro-MD" w:eastAsia="ro-MD"/>
        </w:rPr>
        <w:t>informaţiilor</w:t>
      </w:r>
      <w:proofErr w:type="spellEnd"/>
      <w:r w:rsidRPr="00C1241E">
        <w:rPr>
          <w:lang w:val="ro-MD" w:eastAsia="ro-MD"/>
        </w:rPr>
        <w:t xml:space="preserve"> referitoare la beneficiarul </w:t>
      </w:r>
      <w:proofErr w:type="spellStart"/>
      <w:r w:rsidRPr="00C1241E">
        <w:rPr>
          <w:lang w:val="ro-MD" w:eastAsia="ro-MD"/>
        </w:rPr>
        <w:t>plăţii</w:t>
      </w:r>
      <w:proofErr w:type="spellEnd"/>
      <w:r w:rsidRPr="00C1241E">
        <w:rPr>
          <w:lang w:val="ro-MD" w:eastAsia="ro-MD"/>
        </w:rPr>
        <w:t xml:space="preserve"> menționată la pct. 71</w:t>
      </w:r>
      <w:r w:rsidRPr="00C1241E">
        <w:rPr>
          <w:vertAlign w:val="superscript"/>
          <w:lang w:val="ro-MD" w:eastAsia="ro-MD"/>
        </w:rPr>
        <w:t xml:space="preserve">1 </w:t>
      </w:r>
      <w:r w:rsidRPr="00C1241E">
        <w:rPr>
          <w:lang w:val="ro-MD" w:eastAsia="ro-MD"/>
        </w:rPr>
        <w:t xml:space="preserve">doar în următoarele </w:t>
      </w:r>
      <w:proofErr w:type="spellStart"/>
      <w:r w:rsidRPr="00C1241E">
        <w:rPr>
          <w:lang w:val="ro-MD" w:eastAsia="ro-MD"/>
        </w:rPr>
        <w:t>situaţii</w:t>
      </w:r>
      <w:proofErr w:type="spellEnd"/>
      <w:r w:rsidRPr="00C1241E">
        <w:rPr>
          <w:lang w:val="ro-MD" w:eastAsia="ro-MD"/>
        </w:rPr>
        <w:t>:</w:t>
      </w:r>
    </w:p>
    <w:p w14:paraId="266AA661" w14:textId="77777777" w:rsidR="00C1241E" w:rsidRPr="00C1241E" w:rsidRDefault="00C1241E" w:rsidP="00C1241E">
      <w:pPr>
        <w:spacing w:afterLines="900" w:after="2160"/>
        <w:contextualSpacing/>
        <w:jc w:val="both"/>
        <w:rPr>
          <w:lang w:val="ro-MD" w:eastAsia="ro-MD"/>
        </w:rPr>
      </w:pPr>
      <w:r w:rsidRPr="00C1241E">
        <w:rPr>
          <w:lang w:val="ro-MD" w:eastAsia="ro-MD"/>
        </w:rPr>
        <w:t>1) când plata este efectuată în numerar sau monedă electronică anonimă; sau</w:t>
      </w:r>
    </w:p>
    <w:p w14:paraId="647DA862" w14:textId="7E40494D" w:rsidR="00C1241E" w:rsidRDefault="00C1241E" w:rsidP="00C1241E">
      <w:pPr>
        <w:spacing w:after="180"/>
        <w:jc w:val="both"/>
        <w:rPr>
          <w:lang w:val="ro-MD" w:eastAsia="ro-MD"/>
        </w:rPr>
      </w:pPr>
      <w:r w:rsidRPr="00C1241E">
        <w:rPr>
          <w:lang w:val="ro-MD" w:eastAsia="ro-MD"/>
        </w:rPr>
        <w:t xml:space="preserve">2) când există motive întemeiate pentru a suspecta că există o activitate de spălare a banilor sau de </w:t>
      </w:r>
      <w:proofErr w:type="spellStart"/>
      <w:r w:rsidRPr="00C1241E">
        <w:rPr>
          <w:lang w:val="ro-MD" w:eastAsia="ro-MD"/>
        </w:rPr>
        <w:t>finanţare</w:t>
      </w:r>
      <w:proofErr w:type="spellEnd"/>
      <w:r w:rsidRPr="00C1241E">
        <w:rPr>
          <w:lang w:val="ro-MD" w:eastAsia="ro-MD"/>
        </w:rPr>
        <w:t xml:space="preserve"> a terorismului.</w:t>
      </w:r>
      <w:r>
        <w:rPr>
          <w:lang w:val="ro-MD" w:eastAsia="ro-MD"/>
        </w:rPr>
        <w:t>”.</w:t>
      </w:r>
    </w:p>
    <w:p w14:paraId="237952E0" w14:textId="667A029A" w:rsidR="00C1241E" w:rsidRPr="00C1241E" w:rsidRDefault="00C1241E" w:rsidP="00C1241E">
      <w:pPr>
        <w:spacing w:after="180"/>
        <w:ind w:firstLine="284"/>
        <w:jc w:val="both"/>
        <w:rPr>
          <w:lang w:val="ro-MD" w:eastAsia="ro-MD"/>
        </w:rPr>
      </w:pPr>
      <w:r>
        <w:rPr>
          <w:lang w:val="ro-MD" w:eastAsia="ro-MD"/>
        </w:rPr>
        <w:t>13)</w:t>
      </w:r>
      <w:r>
        <w:rPr>
          <w:lang w:val="ro-MD" w:eastAsia="ro-MD"/>
        </w:rPr>
        <w:tab/>
      </w:r>
      <w:bookmarkStart w:id="47" w:name="_Hlk186197327"/>
      <w:r w:rsidRPr="000324BB">
        <w:rPr>
          <w:lang w:val="ro-MD" w:eastAsia="ro-MD"/>
        </w:rPr>
        <w:t>Se completează cu pct.</w:t>
      </w:r>
      <w:r>
        <w:rPr>
          <w:lang w:val="ro-MD" w:eastAsia="ro-MD"/>
        </w:rPr>
        <w:t>72</w:t>
      </w:r>
      <w:r w:rsidRPr="000324BB">
        <w:rPr>
          <w:vertAlign w:val="superscript"/>
          <w:lang w:val="ro-MD" w:eastAsia="ro-MD"/>
        </w:rPr>
        <w:t>1</w:t>
      </w:r>
      <w:r w:rsidRPr="000324BB">
        <w:rPr>
          <w:lang w:val="ro-MD" w:eastAsia="ro-MD"/>
        </w:rPr>
        <w:t xml:space="preserve"> cu următorul cuprins:</w:t>
      </w:r>
    </w:p>
    <w:bookmarkEnd w:id="47"/>
    <w:p w14:paraId="6CBE671F" w14:textId="59DF0180" w:rsidR="00C1241E" w:rsidRPr="00C1241E" w:rsidRDefault="00C1241E" w:rsidP="00C1241E">
      <w:pPr>
        <w:spacing w:after="180"/>
        <w:jc w:val="both"/>
        <w:rPr>
          <w:color w:val="663300"/>
          <w:lang w:val="ro-MD" w:eastAsia="ro-MD"/>
        </w:rPr>
      </w:pPr>
      <w:r>
        <w:rPr>
          <w:b/>
          <w:bCs/>
          <w:lang w:val="ro-MD" w:eastAsia="ro-MD"/>
        </w:rPr>
        <w:lastRenderedPageBreak/>
        <w:t>„</w:t>
      </w:r>
      <w:r w:rsidRPr="00C1241E">
        <w:rPr>
          <w:b/>
          <w:bCs/>
          <w:lang w:val="ro-MD" w:eastAsia="ro-MD"/>
        </w:rPr>
        <w:t>72</w:t>
      </w:r>
      <w:r w:rsidRPr="00C1241E">
        <w:rPr>
          <w:b/>
          <w:bCs/>
          <w:vertAlign w:val="superscript"/>
          <w:lang w:val="ro-MD" w:eastAsia="ro-MD"/>
        </w:rPr>
        <w:t>1</w:t>
      </w:r>
      <w:r w:rsidRPr="00C1241E">
        <w:rPr>
          <w:b/>
          <w:bCs/>
          <w:lang w:val="ro-MD" w:eastAsia="ro-MD"/>
        </w:rPr>
        <w:t>.</w:t>
      </w:r>
      <w:r w:rsidRPr="00C1241E">
        <w:rPr>
          <w:lang w:val="ro-MD" w:eastAsia="ro-MD"/>
        </w:rPr>
        <w:t xml:space="preserve"> Obligația de verificare a plenitudinii și a exactității informațiilor privind beneficiarul plății menționată la pct. 71</w:t>
      </w:r>
      <w:r w:rsidRPr="00C1241E">
        <w:rPr>
          <w:vertAlign w:val="superscript"/>
          <w:lang w:val="ro-MD" w:eastAsia="ro-MD"/>
        </w:rPr>
        <w:t>1</w:t>
      </w:r>
      <w:r w:rsidRPr="00C1241E">
        <w:rPr>
          <w:lang w:val="ro-MD" w:eastAsia="ro-MD"/>
        </w:rPr>
        <w:t xml:space="preserve"> și 72 se consideră a fi îndeplinită dacă prestatorul beneficiarului plății aplică măsuri de precauție pentru verificarea beneficiarului plății, actualizează și păstrează informația privind beneficiarul plății în conformitate cu prevederile Cap. V-VII și XI din prezentul Regulament.</w:t>
      </w:r>
      <w:r>
        <w:rPr>
          <w:lang w:val="ro-MD" w:eastAsia="ro-MD"/>
        </w:rPr>
        <w:t>”.</w:t>
      </w:r>
      <w:r w:rsidRPr="00C1241E">
        <w:rPr>
          <w:lang w:val="ro-MD" w:eastAsia="ro-MD"/>
        </w:rPr>
        <w:t xml:space="preserve"> </w:t>
      </w:r>
    </w:p>
    <w:p w14:paraId="68A9C353" w14:textId="111D03B2" w:rsidR="00C1241E" w:rsidRDefault="00C1241E" w:rsidP="005754C6">
      <w:pPr>
        <w:spacing w:after="180"/>
        <w:ind w:firstLine="284"/>
        <w:jc w:val="both"/>
        <w:rPr>
          <w:lang w:val="ro-RO" w:eastAsia="ro-MD"/>
        </w:rPr>
      </w:pPr>
      <w:r>
        <w:rPr>
          <w:lang w:val="ro-MD" w:eastAsia="ro-MD"/>
        </w:rPr>
        <w:t>14)</w:t>
      </w:r>
      <w:r>
        <w:rPr>
          <w:lang w:val="ro-MD" w:eastAsia="ro-MD"/>
        </w:rPr>
        <w:tab/>
      </w:r>
      <w:r>
        <w:rPr>
          <w:lang w:val="ro-RO" w:eastAsia="ro-MD"/>
        </w:rPr>
        <w:t>Pct.73-76 vor avea următorul cuprins:</w:t>
      </w:r>
    </w:p>
    <w:p w14:paraId="47224023" w14:textId="309487CB" w:rsidR="005754C6" w:rsidRPr="005754C6" w:rsidRDefault="005754C6" w:rsidP="005754C6">
      <w:pPr>
        <w:spacing w:after="180"/>
        <w:jc w:val="both"/>
        <w:rPr>
          <w:lang w:val="ro-MD" w:eastAsia="ro-MD"/>
        </w:rPr>
      </w:pPr>
      <w:r>
        <w:rPr>
          <w:b/>
          <w:bCs/>
          <w:lang w:val="ro-MD" w:eastAsia="ro-MD"/>
        </w:rPr>
        <w:t>„</w:t>
      </w:r>
      <w:r w:rsidRPr="005754C6">
        <w:rPr>
          <w:b/>
          <w:bCs/>
          <w:lang w:val="ro-MD" w:eastAsia="ro-MD"/>
        </w:rPr>
        <w:t>73.</w:t>
      </w:r>
      <w:r w:rsidRPr="005754C6">
        <w:rPr>
          <w:lang w:val="ro-MD" w:eastAsia="ro-MD"/>
        </w:rPr>
        <w:t xml:space="preserve"> Prestatorul beneficiarului </w:t>
      </w:r>
      <w:proofErr w:type="spellStart"/>
      <w:r w:rsidRPr="005754C6">
        <w:rPr>
          <w:lang w:val="ro-MD" w:eastAsia="ro-MD"/>
        </w:rPr>
        <w:t>plăţii</w:t>
      </w:r>
      <w:proofErr w:type="spellEnd"/>
      <w:r w:rsidRPr="005754C6">
        <w:rPr>
          <w:lang w:val="ro-MD" w:eastAsia="ro-MD"/>
        </w:rPr>
        <w:t xml:space="preserve"> pune în aplicare proceduri eficace bazate pe riscuri, inclusiv procedurile în funcție de riscul asociat privind măsurile de precauție privind clienții prevăzute la pct. 11, pentru a determina dacă să execute, să respingă sau să suspende un transfer de fonduri în cazul în care </w:t>
      </w:r>
      <w:proofErr w:type="spellStart"/>
      <w:r w:rsidRPr="005754C6">
        <w:rPr>
          <w:lang w:val="ro-MD" w:eastAsia="ro-MD"/>
        </w:rPr>
        <w:t>informaţiile</w:t>
      </w:r>
      <w:proofErr w:type="spellEnd"/>
      <w:r w:rsidRPr="005754C6">
        <w:rPr>
          <w:lang w:val="ro-MD" w:eastAsia="ro-MD"/>
        </w:rPr>
        <w:t xml:space="preserve"> complete privind plătitorul </w:t>
      </w:r>
      <w:proofErr w:type="spellStart"/>
      <w:r w:rsidRPr="005754C6">
        <w:rPr>
          <w:lang w:val="ro-MD" w:eastAsia="ro-MD"/>
        </w:rPr>
        <w:t>şi</w:t>
      </w:r>
      <w:proofErr w:type="spellEnd"/>
      <w:r w:rsidRPr="005754C6">
        <w:rPr>
          <w:lang w:val="ro-MD" w:eastAsia="ro-MD"/>
        </w:rPr>
        <w:t xml:space="preserve"> beneficiarul </w:t>
      </w:r>
      <w:proofErr w:type="spellStart"/>
      <w:r w:rsidRPr="005754C6">
        <w:rPr>
          <w:lang w:val="ro-MD" w:eastAsia="ro-MD"/>
        </w:rPr>
        <w:t>plăţii</w:t>
      </w:r>
      <w:proofErr w:type="spellEnd"/>
      <w:r w:rsidRPr="005754C6">
        <w:rPr>
          <w:lang w:val="ro-MD" w:eastAsia="ro-MD"/>
        </w:rPr>
        <w:t xml:space="preserve"> lipsesc și pentru a lua măsurile ulterioare adecvate.</w:t>
      </w:r>
    </w:p>
    <w:p w14:paraId="56C30131" w14:textId="77777777" w:rsidR="003E417F" w:rsidRDefault="005754C6" w:rsidP="005754C6">
      <w:pPr>
        <w:spacing w:after="180"/>
        <w:jc w:val="both"/>
        <w:rPr>
          <w:lang w:val="ro-MD" w:eastAsia="ro-MD"/>
        </w:rPr>
      </w:pPr>
      <w:r w:rsidRPr="005754C6">
        <w:rPr>
          <w:b/>
          <w:bCs/>
          <w:lang w:val="ro-MD" w:eastAsia="ro-MD"/>
        </w:rPr>
        <w:t>74.</w:t>
      </w:r>
      <w:r w:rsidRPr="005754C6">
        <w:rPr>
          <w:lang w:val="ro-MD" w:eastAsia="ro-MD"/>
        </w:rPr>
        <w:t xml:space="preserve"> În cazul în care prestatorul beneficiarului </w:t>
      </w:r>
      <w:proofErr w:type="spellStart"/>
      <w:r w:rsidRPr="005754C6">
        <w:rPr>
          <w:lang w:val="ro-MD" w:eastAsia="ro-MD"/>
        </w:rPr>
        <w:t>plăţii</w:t>
      </w:r>
      <w:proofErr w:type="spellEnd"/>
      <w:r w:rsidRPr="005754C6">
        <w:rPr>
          <w:lang w:val="ro-MD" w:eastAsia="ro-MD"/>
        </w:rPr>
        <w:t xml:space="preserve"> constată, că la primirea transferului de fonduri, </w:t>
      </w:r>
      <w:proofErr w:type="spellStart"/>
      <w:r w:rsidRPr="005754C6">
        <w:rPr>
          <w:lang w:val="ro-MD" w:eastAsia="ro-MD"/>
        </w:rPr>
        <w:t>informaţiile</w:t>
      </w:r>
      <w:proofErr w:type="spellEnd"/>
      <w:r w:rsidRPr="005754C6">
        <w:rPr>
          <w:lang w:val="ro-MD" w:eastAsia="ro-MD"/>
        </w:rPr>
        <w:t xml:space="preserve"> </w:t>
      </w:r>
      <w:proofErr w:type="spellStart"/>
      <w:r w:rsidRPr="005754C6">
        <w:rPr>
          <w:lang w:val="ro-MD" w:eastAsia="ro-MD"/>
        </w:rPr>
        <w:t>menţionate</w:t>
      </w:r>
      <w:proofErr w:type="spellEnd"/>
      <w:r w:rsidRPr="005754C6">
        <w:rPr>
          <w:lang w:val="ro-MD" w:eastAsia="ro-MD"/>
        </w:rPr>
        <w:t xml:space="preserve"> la pct.64 </w:t>
      </w:r>
      <w:proofErr w:type="spellStart"/>
      <w:r w:rsidRPr="005754C6">
        <w:rPr>
          <w:lang w:val="ro-MD" w:eastAsia="ro-MD"/>
        </w:rPr>
        <w:t>subpct</w:t>
      </w:r>
      <w:proofErr w:type="spellEnd"/>
      <w:r w:rsidRPr="005754C6">
        <w:rPr>
          <w:lang w:val="ro-MD" w:eastAsia="ro-MD"/>
        </w:rPr>
        <w:t xml:space="preserve">. 1)-3), 65 </w:t>
      </w:r>
      <w:proofErr w:type="spellStart"/>
      <w:r w:rsidRPr="005754C6">
        <w:rPr>
          <w:lang w:val="ro-MD" w:eastAsia="ro-MD"/>
        </w:rPr>
        <w:t>subpct</w:t>
      </w:r>
      <w:proofErr w:type="spellEnd"/>
      <w:r w:rsidRPr="005754C6">
        <w:rPr>
          <w:lang w:val="ro-MD" w:eastAsia="ro-MD"/>
        </w:rPr>
        <w:t>. 1)-2), 66, 68, 69 și 69</w:t>
      </w:r>
      <w:r w:rsidRPr="005754C6">
        <w:rPr>
          <w:vertAlign w:val="superscript"/>
          <w:lang w:val="ro-MD" w:eastAsia="ro-MD"/>
        </w:rPr>
        <w:t>1</w:t>
      </w:r>
      <w:r w:rsidRPr="005754C6">
        <w:rPr>
          <w:lang w:val="ro-MD" w:eastAsia="ro-MD"/>
        </w:rPr>
        <w:t xml:space="preserve"> lipsesc sau sunt incomplete ori nu au fost completate folosind caractere sau elemente compatibile în conformitate cu convențiile sistemului de mesagerie sau de plată </w:t>
      </w:r>
      <w:proofErr w:type="spellStart"/>
      <w:r w:rsidRPr="005754C6">
        <w:rPr>
          <w:lang w:val="ro-MD" w:eastAsia="ro-MD"/>
        </w:rPr>
        <w:t>şi</w:t>
      </w:r>
      <w:proofErr w:type="spellEnd"/>
      <w:r w:rsidRPr="005754C6">
        <w:rPr>
          <w:lang w:val="ro-MD" w:eastAsia="ro-MD"/>
        </w:rPr>
        <w:t xml:space="preserve"> decontare utilizat, astfel cum este menționat la pct. 71, prestatorul respinge transferul sau solicită </w:t>
      </w:r>
      <w:proofErr w:type="spellStart"/>
      <w:r w:rsidRPr="005754C6">
        <w:rPr>
          <w:lang w:val="ro-MD" w:eastAsia="ro-MD"/>
        </w:rPr>
        <w:t>informaţiile</w:t>
      </w:r>
      <w:proofErr w:type="spellEnd"/>
      <w:r w:rsidRPr="005754C6">
        <w:rPr>
          <w:lang w:val="ro-MD" w:eastAsia="ro-MD"/>
        </w:rPr>
        <w:t xml:space="preserve"> cerute privind plătitorul </w:t>
      </w:r>
      <w:proofErr w:type="spellStart"/>
      <w:r w:rsidRPr="005754C6">
        <w:rPr>
          <w:lang w:val="ro-MD" w:eastAsia="ro-MD"/>
        </w:rPr>
        <w:t>şi</w:t>
      </w:r>
      <w:proofErr w:type="spellEnd"/>
      <w:r w:rsidRPr="005754C6">
        <w:rPr>
          <w:lang w:val="ro-MD" w:eastAsia="ro-MD"/>
        </w:rPr>
        <w:t xml:space="preserve"> beneficiarul </w:t>
      </w:r>
      <w:proofErr w:type="spellStart"/>
      <w:r w:rsidRPr="005754C6">
        <w:rPr>
          <w:lang w:val="ro-MD" w:eastAsia="ro-MD"/>
        </w:rPr>
        <w:t>plăţii</w:t>
      </w:r>
      <w:proofErr w:type="spellEnd"/>
      <w:r w:rsidRPr="005754C6">
        <w:rPr>
          <w:lang w:val="ro-MD" w:eastAsia="ro-MD"/>
        </w:rPr>
        <w:t xml:space="preserve">, înainte sau după creditarea contului de </w:t>
      </w:r>
      <w:proofErr w:type="spellStart"/>
      <w:r w:rsidRPr="005754C6">
        <w:rPr>
          <w:lang w:val="ro-MD" w:eastAsia="ro-MD"/>
        </w:rPr>
        <w:t>plăţi</w:t>
      </w:r>
      <w:proofErr w:type="spellEnd"/>
      <w:r w:rsidRPr="005754C6">
        <w:rPr>
          <w:lang w:val="ro-MD" w:eastAsia="ro-MD"/>
        </w:rPr>
        <w:t xml:space="preserve"> al beneficiarului </w:t>
      </w:r>
      <w:proofErr w:type="spellStart"/>
      <w:r w:rsidRPr="005754C6">
        <w:rPr>
          <w:lang w:val="ro-MD" w:eastAsia="ro-MD"/>
        </w:rPr>
        <w:t>plăţii</w:t>
      </w:r>
      <w:proofErr w:type="spellEnd"/>
      <w:r w:rsidRPr="005754C6">
        <w:rPr>
          <w:lang w:val="ro-MD" w:eastAsia="ro-MD"/>
        </w:rPr>
        <w:t xml:space="preserve"> sau punerea fondurilor la </w:t>
      </w:r>
      <w:proofErr w:type="spellStart"/>
      <w:r w:rsidRPr="005754C6">
        <w:rPr>
          <w:lang w:val="ro-MD" w:eastAsia="ro-MD"/>
        </w:rPr>
        <w:t>dispoziţia</w:t>
      </w:r>
      <w:proofErr w:type="spellEnd"/>
      <w:r w:rsidRPr="005754C6">
        <w:rPr>
          <w:lang w:val="ro-MD" w:eastAsia="ro-MD"/>
        </w:rPr>
        <w:t xml:space="preserve"> acestuia, în </w:t>
      </w:r>
      <w:proofErr w:type="spellStart"/>
      <w:r w:rsidRPr="005754C6">
        <w:rPr>
          <w:lang w:val="ro-MD" w:eastAsia="ro-MD"/>
        </w:rPr>
        <w:t>funcţie</w:t>
      </w:r>
      <w:proofErr w:type="spellEnd"/>
      <w:r w:rsidRPr="005754C6">
        <w:rPr>
          <w:lang w:val="ro-MD" w:eastAsia="ro-MD"/>
        </w:rPr>
        <w:t xml:space="preserve"> de riscul asociat.</w:t>
      </w:r>
    </w:p>
    <w:p w14:paraId="08035064" w14:textId="74E02A48" w:rsidR="005754C6" w:rsidRPr="005754C6" w:rsidRDefault="005754C6" w:rsidP="005754C6">
      <w:pPr>
        <w:spacing w:after="180"/>
        <w:jc w:val="both"/>
        <w:rPr>
          <w:lang w:val="ro-MD" w:eastAsia="ro-MD"/>
        </w:rPr>
      </w:pPr>
      <w:r w:rsidRPr="005754C6">
        <w:rPr>
          <w:b/>
          <w:bCs/>
          <w:lang w:val="ro-MD" w:eastAsia="ro-MD"/>
        </w:rPr>
        <w:t>75.</w:t>
      </w:r>
      <w:r w:rsidRPr="005754C6">
        <w:rPr>
          <w:lang w:val="ro-MD" w:eastAsia="ro-MD"/>
        </w:rPr>
        <w:t xml:space="preserve"> În cazul în care prestatorul de servicii de plată care efectuează transferul omite în mod repetat să furnizeze </w:t>
      </w:r>
      <w:proofErr w:type="spellStart"/>
      <w:r w:rsidRPr="005754C6">
        <w:rPr>
          <w:lang w:val="ro-MD" w:eastAsia="ro-MD"/>
        </w:rPr>
        <w:t>informaţiile</w:t>
      </w:r>
      <w:proofErr w:type="spellEnd"/>
      <w:r w:rsidRPr="005754C6">
        <w:rPr>
          <w:lang w:val="ro-MD" w:eastAsia="ro-MD"/>
        </w:rPr>
        <w:t xml:space="preserve"> obligatorii cu privire la plătitor sau beneficiarul </w:t>
      </w:r>
      <w:proofErr w:type="spellStart"/>
      <w:r w:rsidRPr="005754C6">
        <w:rPr>
          <w:lang w:val="ro-MD" w:eastAsia="ro-MD"/>
        </w:rPr>
        <w:t>plăţii</w:t>
      </w:r>
      <w:proofErr w:type="spellEnd"/>
      <w:r w:rsidRPr="005754C6">
        <w:rPr>
          <w:lang w:val="ro-MD" w:eastAsia="ro-MD"/>
        </w:rPr>
        <w:t xml:space="preserve">, prestatorul beneficiarului plății ia măsuri care pot consta, mai </w:t>
      </w:r>
      <w:proofErr w:type="spellStart"/>
      <w:r w:rsidRPr="005754C6">
        <w:rPr>
          <w:lang w:val="ro-MD" w:eastAsia="ro-MD"/>
        </w:rPr>
        <w:t>întîi</w:t>
      </w:r>
      <w:proofErr w:type="spellEnd"/>
      <w:r w:rsidRPr="005754C6">
        <w:rPr>
          <w:lang w:val="ro-MD" w:eastAsia="ro-MD"/>
        </w:rPr>
        <w:t xml:space="preserve">, în emiterea unor avertismente </w:t>
      </w:r>
      <w:proofErr w:type="spellStart"/>
      <w:r w:rsidRPr="005754C6">
        <w:rPr>
          <w:lang w:val="ro-MD" w:eastAsia="ro-MD"/>
        </w:rPr>
        <w:t>şi</w:t>
      </w:r>
      <w:proofErr w:type="spellEnd"/>
      <w:r w:rsidRPr="005754C6">
        <w:rPr>
          <w:lang w:val="ro-MD" w:eastAsia="ro-MD"/>
        </w:rPr>
        <w:t xml:space="preserve"> stabilirea unor termene-limită, înainte fie de a respinge orice transfer de mijloace </w:t>
      </w:r>
      <w:proofErr w:type="spellStart"/>
      <w:r w:rsidRPr="005754C6">
        <w:rPr>
          <w:lang w:val="ro-MD" w:eastAsia="ro-MD"/>
        </w:rPr>
        <w:t>băneşti</w:t>
      </w:r>
      <w:proofErr w:type="spellEnd"/>
      <w:r w:rsidRPr="005754C6">
        <w:rPr>
          <w:lang w:val="ro-MD" w:eastAsia="ro-MD"/>
        </w:rPr>
        <w:t xml:space="preserve"> care provine de la acesta, fie de a decide, dacă este cazul, să </w:t>
      </w:r>
      <w:proofErr w:type="spellStart"/>
      <w:r w:rsidRPr="005754C6">
        <w:rPr>
          <w:lang w:val="ro-MD" w:eastAsia="ro-MD"/>
        </w:rPr>
        <w:t>restrîngă</w:t>
      </w:r>
      <w:proofErr w:type="spellEnd"/>
      <w:r w:rsidRPr="005754C6">
        <w:rPr>
          <w:lang w:val="ro-MD" w:eastAsia="ro-MD"/>
        </w:rPr>
        <w:t xml:space="preserve"> sau să înceteze </w:t>
      </w:r>
      <w:proofErr w:type="spellStart"/>
      <w:r w:rsidRPr="005754C6">
        <w:rPr>
          <w:lang w:val="ro-MD" w:eastAsia="ro-MD"/>
        </w:rPr>
        <w:t>relaţia</w:t>
      </w:r>
      <w:proofErr w:type="spellEnd"/>
      <w:r w:rsidRPr="005754C6">
        <w:rPr>
          <w:lang w:val="ro-MD" w:eastAsia="ro-MD"/>
        </w:rPr>
        <w:t xml:space="preserve"> comercială cu respectivul prestator.  Prestatorul beneficiarului plății informează Banca Națională a Moldovei despre aceste omisiuni, precum și despre măsurile întreprinse. </w:t>
      </w:r>
    </w:p>
    <w:p w14:paraId="022FBF5C" w14:textId="77777777" w:rsidR="005754C6" w:rsidRPr="005754C6" w:rsidRDefault="005754C6" w:rsidP="005754C6">
      <w:pPr>
        <w:spacing w:afterLines="900" w:after="2160"/>
        <w:contextualSpacing/>
        <w:jc w:val="both"/>
        <w:rPr>
          <w:lang w:val="ro-MD" w:eastAsia="ro-MD"/>
        </w:rPr>
      </w:pPr>
      <w:r w:rsidRPr="005754C6">
        <w:rPr>
          <w:b/>
          <w:bCs/>
          <w:lang w:val="ro-MD" w:eastAsia="ro-MD"/>
        </w:rPr>
        <w:t>75</w:t>
      </w:r>
      <w:r w:rsidRPr="005754C6">
        <w:rPr>
          <w:b/>
          <w:bCs/>
          <w:vertAlign w:val="superscript"/>
          <w:lang w:val="ro-MD" w:eastAsia="ro-MD"/>
        </w:rPr>
        <w:t>1</w:t>
      </w:r>
      <w:r w:rsidRPr="005754C6">
        <w:rPr>
          <w:b/>
          <w:bCs/>
          <w:lang w:val="ro-MD" w:eastAsia="ro-MD"/>
        </w:rPr>
        <w:t>.</w:t>
      </w:r>
      <w:r w:rsidRPr="005754C6">
        <w:rPr>
          <w:lang w:val="ro-MD" w:eastAsia="ro-MD"/>
        </w:rPr>
        <w:t xml:space="preserve"> Prestatorul, atunci când </w:t>
      </w:r>
      <w:proofErr w:type="spellStart"/>
      <w:r w:rsidRPr="005754C6">
        <w:rPr>
          <w:lang w:val="ro-MD" w:eastAsia="ro-MD"/>
        </w:rPr>
        <w:t>acţionează</w:t>
      </w:r>
      <w:proofErr w:type="spellEnd"/>
      <w:r w:rsidRPr="005754C6">
        <w:rPr>
          <w:lang w:val="ro-MD" w:eastAsia="ro-MD"/>
        </w:rPr>
        <w:t xml:space="preserve"> în calitate de prestator al beneficiarului plății sau, după caz, concomitent a plătitorului </w:t>
      </w:r>
      <w:proofErr w:type="spellStart"/>
      <w:r w:rsidRPr="005754C6">
        <w:rPr>
          <w:lang w:val="ro-MD" w:eastAsia="ro-MD"/>
        </w:rPr>
        <w:t>şi</w:t>
      </w:r>
      <w:proofErr w:type="spellEnd"/>
      <w:r w:rsidRPr="005754C6">
        <w:rPr>
          <w:lang w:val="ro-MD" w:eastAsia="ro-MD"/>
        </w:rPr>
        <w:t xml:space="preserve"> al beneficiarului </w:t>
      </w:r>
      <w:proofErr w:type="spellStart"/>
      <w:r w:rsidRPr="005754C6">
        <w:rPr>
          <w:lang w:val="ro-MD" w:eastAsia="ro-MD"/>
        </w:rPr>
        <w:t>plăţii</w:t>
      </w:r>
      <w:proofErr w:type="spellEnd"/>
      <w:r w:rsidRPr="005754C6">
        <w:rPr>
          <w:lang w:val="ro-MD" w:eastAsia="ro-MD"/>
        </w:rPr>
        <w:t xml:space="preserve">, ia în considerare toate </w:t>
      </w:r>
      <w:proofErr w:type="spellStart"/>
      <w:r w:rsidRPr="005754C6">
        <w:rPr>
          <w:lang w:val="ro-MD" w:eastAsia="ro-MD"/>
        </w:rPr>
        <w:t>informaţiile</w:t>
      </w:r>
      <w:proofErr w:type="spellEnd"/>
      <w:r w:rsidRPr="005754C6">
        <w:rPr>
          <w:lang w:val="ro-MD" w:eastAsia="ro-MD"/>
        </w:rPr>
        <w:t xml:space="preserve"> lipsă privind plătitorul </w:t>
      </w:r>
      <w:proofErr w:type="spellStart"/>
      <w:r w:rsidRPr="005754C6">
        <w:rPr>
          <w:lang w:val="ro-MD" w:eastAsia="ro-MD"/>
        </w:rPr>
        <w:t>şi</w:t>
      </w:r>
      <w:proofErr w:type="spellEnd"/>
      <w:r w:rsidRPr="005754C6">
        <w:rPr>
          <w:lang w:val="ro-MD" w:eastAsia="ro-MD"/>
        </w:rPr>
        <w:t xml:space="preserve"> beneficiarul </w:t>
      </w:r>
      <w:proofErr w:type="spellStart"/>
      <w:r w:rsidRPr="005754C6">
        <w:rPr>
          <w:lang w:val="ro-MD" w:eastAsia="ro-MD"/>
        </w:rPr>
        <w:t>plăţii</w:t>
      </w:r>
      <w:proofErr w:type="spellEnd"/>
      <w:r w:rsidRPr="005754C6">
        <w:rPr>
          <w:lang w:val="ro-MD" w:eastAsia="ro-MD"/>
        </w:rPr>
        <w:t xml:space="preserve"> pentru a evalua dacă transferul de fonduri sau orice </w:t>
      </w:r>
      <w:proofErr w:type="spellStart"/>
      <w:r w:rsidRPr="005754C6">
        <w:rPr>
          <w:lang w:val="ro-MD" w:eastAsia="ro-MD"/>
        </w:rPr>
        <w:t>tranzacţie</w:t>
      </w:r>
      <w:proofErr w:type="spellEnd"/>
      <w:r w:rsidRPr="005754C6">
        <w:rPr>
          <w:lang w:val="ro-MD" w:eastAsia="ro-MD"/>
        </w:rPr>
        <w:t xml:space="preserve"> conexă este suspectă </w:t>
      </w:r>
      <w:proofErr w:type="spellStart"/>
      <w:r w:rsidRPr="005754C6">
        <w:rPr>
          <w:lang w:val="ro-MD" w:eastAsia="ro-MD"/>
        </w:rPr>
        <w:t>şi</w:t>
      </w:r>
      <w:proofErr w:type="spellEnd"/>
      <w:r w:rsidRPr="005754C6">
        <w:rPr>
          <w:lang w:val="ro-MD" w:eastAsia="ro-MD"/>
        </w:rPr>
        <w:t xml:space="preserve"> dacă aceasta trebuie raportată Serviciului Prevenirea </w:t>
      </w:r>
      <w:proofErr w:type="spellStart"/>
      <w:r w:rsidRPr="005754C6">
        <w:rPr>
          <w:lang w:val="ro-MD" w:eastAsia="ro-MD"/>
        </w:rPr>
        <w:t>şi</w:t>
      </w:r>
      <w:proofErr w:type="spellEnd"/>
      <w:r w:rsidRPr="005754C6">
        <w:rPr>
          <w:lang w:val="ro-MD" w:eastAsia="ro-MD"/>
        </w:rPr>
        <w:t xml:space="preserve"> Combaterea Spălării Banilor conform </w:t>
      </w:r>
      <w:proofErr w:type="spellStart"/>
      <w:r w:rsidRPr="005754C6">
        <w:rPr>
          <w:lang w:val="ro-MD" w:eastAsia="ro-MD"/>
        </w:rPr>
        <w:t>legislaţiei</w:t>
      </w:r>
      <w:proofErr w:type="spellEnd"/>
      <w:r w:rsidRPr="005754C6">
        <w:rPr>
          <w:lang w:val="ro-MD" w:eastAsia="ro-MD"/>
        </w:rPr>
        <w:t>.</w:t>
      </w:r>
    </w:p>
    <w:p w14:paraId="7CCCD448" w14:textId="77777777" w:rsidR="005754C6" w:rsidRPr="005754C6" w:rsidRDefault="005754C6" w:rsidP="005754C6">
      <w:pPr>
        <w:spacing w:afterLines="900" w:after="2160"/>
        <w:contextualSpacing/>
        <w:jc w:val="center"/>
        <w:rPr>
          <w:b/>
          <w:bCs/>
          <w:lang w:val="ro-MD" w:eastAsia="ro-MD"/>
        </w:rPr>
      </w:pPr>
    </w:p>
    <w:p w14:paraId="4AC9BECF" w14:textId="66CAB10E" w:rsidR="00C1241E" w:rsidRDefault="005754C6" w:rsidP="005754C6">
      <w:pPr>
        <w:spacing w:after="180"/>
        <w:jc w:val="both"/>
        <w:rPr>
          <w:lang w:val="ro-MD" w:eastAsia="ro-MD"/>
        </w:rPr>
      </w:pPr>
      <w:r w:rsidRPr="005754C6">
        <w:rPr>
          <w:b/>
          <w:bCs/>
          <w:lang w:val="ro-MD" w:eastAsia="ro-MD"/>
        </w:rPr>
        <w:t>76.</w:t>
      </w:r>
      <w:r w:rsidRPr="005754C6">
        <w:rPr>
          <w:lang w:val="ro-MD" w:eastAsia="ro-MD"/>
        </w:rPr>
        <w:t xml:space="preserve"> Prestatorul intermediar instituie și aplică proceduri eficace, inclusiv, acolo unde este cazul, controlul după efectuarea transferurilor sau controlul în cursul efectuării acestora, pentru a depista dacă câmpurile referitoare la </w:t>
      </w:r>
      <w:proofErr w:type="spellStart"/>
      <w:r w:rsidRPr="005754C6">
        <w:rPr>
          <w:lang w:val="ro-MD" w:eastAsia="ro-MD"/>
        </w:rPr>
        <w:t>informaţiile</w:t>
      </w:r>
      <w:proofErr w:type="spellEnd"/>
      <w:r w:rsidRPr="005754C6">
        <w:rPr>
          <w:lang w:val="ro-MD" w:eastAsia="ro-MD"/>
        </w:rPr>
        <w:t xml:space="preserve"> privind plătitorul </w:t>
      </w:r>
      <w:proofErr w:type="spellStart"/>
      <w:r w:rsidRPr="005754C6">
        <w:rPr>
          <w:lang w:val="ro-MD" w:eastAsia="ro-MD"/>
        </w:rPr>
        <w:t>şi</w:t>
      </w:r>
      <w:proofErr w:type="spellEnd"/>
      <w:r w:rsidRPr="005754C6">
        <w:rPr>
          <w:lang w:val="ro-MD" w:eastAsia="ro-MD"/>
        </w:rPr>
        <w:t xml:space="preserve"> beneficiarul </w:t>
      </w:r>
      <w:proofErr w:type="spellStart"/>
      <w:r w:rsidRPr="005754C6">
        <w:rPr>
          <w:lang w:val="ro-MD" w:eastAsia="ro-MD"/>
        </w:rPr>
        <w:t>plăţii</w:t>
      </w:r>
      <w:proofErr w:type="spellEnd"/>
      <w:r w:rsidRPr="005754C6">
        <w:rPr>
          <w:lang w:val="ro-MD" w:eastAsia="ro-MD"/>
        </w:rPr>
        <w:t xml:space="preserve"> din sistemul de mesagerie sau plată </w:t>
      </w:r>
      <w:proofErr w:type="spellStart"/>
      <w:r w:rsidRPr="005754C6">
        <w:rPr>
          <w:lang w:val="ro-MD" w:eastAsia="ro-MD"/>
        </w:rPr>
        <w:t>şi</w:t>
      </w:r>
      <w:proofErr w:type="spellEnd"/>
      <w:r w:rsidRPr="005754C6">
        <w:rPr>
          <w:lang w:val="ro-MD" w:eastAsia="ro-MD"/>
        </w:rPr>
        <w:t xml:space="preserve"> decontare, utilizat pentru efectuarea transferului de fonduri, au fost completate folosind caractere sau elemente compatibile în conformitate cu convențiile sistemului respectiv și în corespundere cu </w:t>
      </w:r>
      <w:proofErr w:type="spellStart"/>
      <w:r w:rsidRPr="005754C6">
        <w:rPr>
          <w:lang w:val="ro-MD" w:eastAsia="ro-MD"/>
        </w:rPr>
        <w:t>cerinţele</w:t>
      </w:r>
      <w:proofErr w:type="spellEnd"/>
      <w:r w:rsidRPr="005754C6">
        <w:rPr>
          <w:lang w:val="ro-MD" w:eastAsia="ro-MD"/>
        </w:rPr>
        <w:t xml:space="preserve"> pct.64 </w:t>
      </w:r>
      <w:proofErr w:type="spellStart"/>
      <w:r w:rsidRPr="005754C6">
        <w:rPr>
          <w:lang w:val="ro-MD" w:eastAsia="ro-MD"/>
        </w:rPr>
        <w:t>subpct</w:t>
      </w:r>
      <w:proofErr w:type="spellEnd"/>
      <w:r w:rsidRPr="005754C6">
        <w:rPr>
          <w:lang w:val="ro-MD" w:eastAsia="ro-MD"/>
        </w:rPr>
        <w:t xml:space="preserve">. 1)-3), 65 </w:t>
      </w:r>
      <w:proofErr w:type="spellStart"/>
      <w:r w:rsidRPr="005754C6">
        <w:rPr>
          <w:lang w:val="ro-MD" w:eastAsia="ro-MD"/>
        </w:rPr>
        <w:t>subpct</w:t>
      </w:r>
      <w:proofErr w:type="spellEnd"/>
      <w:r w:rsidRPr="005754C6">
        <w:rPr>
          <w:lang w:val="ro-MD" w:eastAsia="ro-MD"/>
        </w:rPr>
        <w:t>. 1)-2), 66 68, 69 și 69</w:t>
      </w:r>
      <w:r w:rsidRPr="005754C6">
        <w:rPr>
          <w:vertAlign w:val="superscript"/>
          <w:lang w:val="ro-MD" w:eastAsia="ro-MD"/>
        </w:rPr>
        <w:t>1</w:t>
      </w:r>
      <w:r w:rsidRPr="005754C6">
        <w:rPr>
          <w:lang w:val="ro-MD" w:eastAsia="ro-MD"/>
        </w:rPr>
        <w:t xml:space="preserve"> din prezentul Regulament </w:t>
      </w:r>
      <w:proofErr w:type="spellStart"/>
      <w:r w:rsidRPr="005754C6">
        <w:rPr>
          <w:lang w:val="ro-MD" w:eastAsia="ro-MD"/>
        </w:rPr>
        <w:t>şi</w:t>
      </w:r>
      <w:proofErr w:type="spellEnd"/>
      <w:r w:rsidRPr="005754C6">
        <w:rPr>
          <w:lang w:val="ro-MD" w:eastAsia="ro-MD"/>
        </w:rPr>
        <w:t xml:space="preserve"> se asigură că toate </w:t>
      </w:r>
      <w:proofErr w:type="spellStart"/>
      <w:r w:rsidRPr="005754C6">
        <w:rPr>
          <w:lang w:val="ro-MD" w:eastAsia="ro-MD"/>
        </w:rPr>
        <w:t>informaţiile</w:t>
      </w:r>
      <w:proofErr w:type="spellEnd"/>
      <w:r w:rsidRPr="005754C6">
        <w:rPr>
          <w:lang w:val="ro-MD" w:eastAsia="ro-MD"/>
        </w:rPr>
        <w:t xml:space="preserve"> primite privind plătitorul </w:t>
      </w:r>
      <w:proofErr w:type="spellStart"/>
      <w:r w:rsidRPr="005754C6">
        <w:rPr>
          <w:lang w:val="ro-MD" w:eastAsia="ro-MD"/>
        </w:rPr>
        <w:t>şi</w:t>
      </w:r>
      <w:proofErr w:type="spellEnd"/>
      <w:r w:rsidRPr="005754C6">
        <w:rPr>
          <w:lang w:val="ro-MD" w:eastAsia="ro-MD"/>
        </w:rPr>
        <w:t xml:space="preserve"> beneficiarul </w:t>
      </w:r>
      <w:proofErr w:type="spellStart"/>
      <w:r w:rsidRPr="005754C6">
        <w:rPr>
          <w:lang w:val="ro-MD" w:eastAsia="ro-MD"/>
        </w:rPr>
        <w:t>plăţii</w:t>
      </w:r>
      <w:proofErr w:type="spellEnd"/>
      <w:r w:rsidRPr="005754C6">
        <w:rPr>
          <w:lang w:val="ro-MD" w:eastAsia="ro-MD"/>
        </w:rPr>
        <w:t xml:space="preserve"> care </w:t>
      </w:r>
      <w:proofErr w:type="spellStart"/>
      <w:r w:rsidRPr="005754C6">
        <w:rPr>
          <w:lang w:val="ro-MD" w:eastAsia="ro-MD"/>
        </w:rPr>
        <w:t>însoţesc</w:t>
      </w:r>
      <w:proofErr w:type="spellEnd"/>
      <w:r w:rsidRPr="005754C6">
        <w:rPr>
          <w:lang w:val="ro-MD" w:eastAsia="ro-MD"/>
        </w:rPr>
        <w:t xml:space="preserve"> un transfer de fonduri sunt păstrate împreună cu acel transfer.</w:t>
      </w:r>
      <w:r>
        <w:rPr>
          <w:lang w:val="ro-MD" w:eastAsia="ro-MD"/>
        </w:rPr>
        <w:t>”.</w:t>
      </w:r>
    </w:p>
    <w:p w14:paraId="15ABDB9A" w14:textId="15D14F20" w:rsidR="005754C6" w:rsidRDefault="00580D35" w:rsidP="00580D35">
      <w:pPr>
        <w:spacing w:after="180"/>
        <w:ind w:firstLine="284"/>
        <w:jc w:val="both"/>
        <w:rPr>
          <w:lang w:val="ro-MD" w:eastAsia="ro-MD"/>
        </w:rPr>
      </w:pPr>
      <w:r>
        <w:rPr>
          <w:lang w:val="ro-MD" w:eastAsia="ro-MD"/>
        </w:rPr>
        <w:t>15)</w:t>
      </w:r>
      <w:r>
        <w:rPr>
          <w:lang w:val="ro-MD" w:eastAsia="ro-MD"/>
        </w:rPr>
        <w:tab/>
        <w:t xml:space="preserve">Pct.77 se </w:t>
      </w:r>
      <w:r w:rsidR="00D3751A">
        <w:rPr>
          <w:lang w:val="ro-MD" w:eastAsia="ro-MD"/>
        </w:rPr>
        <w:t>abrogă</w:t>
      </w:r>
      <w:r>
        <w:rPr>
          <w:lang w:val="ro-MD" w:eastAsia="ro-MD"/>
        </w:rPr>
        <w:t>.</w:t>
      </w:r>
    </w:p>
    <w:p w14:paraId="70015184" w14:textId="6CADF168" w:rsidR="00580D35" w:rsidRDefault="00580D35" w:rsidP="00580D35">
      <w:pPr>
        <w:spacing w:after="180"/>
        <w:ind w:firstLine="284"/>
        <w:jc w:val="both"/>
        <w:rPr>
          <w:lang w:val="ro-MD" w:eastAsia="ro-MD"/>
        </w:rPr>
      </w:pPr>
      <w:r>
        <w:rPr>
          <w:lang w:val="ro-MD" w:eastAsia="ro-MD"/>
        </w:rPr>
        <w:t>16)</w:t>
      </w:r>
      <w:r>
        <w:rPr>
          <w:lang w:val="ro-MD" w:eastAsia="ro-MD"/>
        </w:rPr>
        <w:tab/>
        <w:t>Pct. 78-80 vor avea următorul cuprins:</w:t>
      </w:r>
    </w:p>
    <w:p w14:paraId="047D44C1" w14:textId="77777777" w:rsidR="00580D35" w:rsidRDefault="00580D35" w:rsidP="00580D35">
      <w:pPr>
        <w:spacing w:after="100" w:afterAutospacing="1"/>
        <w:contextualSpacing/>
        <w:jc w:val="both"/>
        <w:rPr>
          <w:lang w:val="ro-MD" w:eastAsia="ro-MD"/>
        </w:rPr>
      </w:pPr>
      <w:r>
        <w:rPr>
          <w:b/>
          <w:bCs/>
          <w:lang w:val="ro-MD" w:eastAsia="ro-MD"/>
        </w:rPr>
        <w:t>„</w:t>
      </w:r>
      <w:r w:rsidRPr="00580D35">
        <w:rPr>
          <w:b/>
          <w:bCs/>
          <w:lang w:val="ro-MD" w:eastAsia="ro-MD"/>
        </w:rPr>
        <w:t>78.</w:t>
      </w:r>
      <w:r w:rsidRPr="00580D35">
        <w:rPr>
          <w:lang w:val="ro-MD" w:eastAsia="ro-MD"/>
        </w:rPr>
        <w:t xml:space="preserve"> Prestatorul intermediar pune în aplicare proceduri eficace bazate pe riscuri, pentru a determina dacă să execute, să respingă sau să suspende un transfer de fonduri în cazul în care </w:t>
      </w:r>
      <w:proofErr w:type="spellStart"/>
      <w:r w:rsidRPr="00580D35">
        <w:rPr>
          <w:lang w:val="ro-MD" w:eastAsia="ro-MD"/>
        </w:rPr>
        <w:lastRenderedPageBreak/>
        <w:t>informaţiile</w:t>
      </w:r>
      <w:proofErr w:type="spellEnd"/>
      <w:r w:rsidRPr="00580D35">
        <w:rPr>
          <w:lang w:val="ro-MD" w:eastAsia="ro-MD"/>
        </w:rPr>
        <w:t xml:space="preserve"> cerute privind plătitorul </w:t>
      </w:r>
      <w:proofErr w:type="spellStart"/>
      <w:r w:rsidRPr="00580D35">
        <w:rPr>
          <w:lang w:val="ro-MD" w:eastAsia="ro-MD"/>
        </w:rPr>
        <w:t>şi</w:t>
      </w:r>
      <w:proofErr w:type="spellEnd"/>
      <w:r w:rsidRPr="00580D35">
        <w:rPr>
          <w:lang w:val="ro-MD" w:eastAsia="ro-MD"/>
        </w:rPr>
        <w:t xml:space="preserve"> beneficiarul </w:t>
      </w:r>
      <w:proofErr w:type="spellStart"/>
      <w:r w:rsidRPr="00580D35">
        <w:rPr>
          <w:lang w:val="ro-MD" w:eastAsia="ro-MD"/>
        </w:rPr>
        <w:t>plăţii</w:t>
      </w:r>
      <w:proofErr w:type="spellEnd"/>
      <w:r w:rsidRPr="00580D35">
        <w:rPr>
          <w:lang w:val="ro-MD" w:eastAsia="ro-MD"/>
        </w:rPr>
        <w:t xml:space="preserve"> lipsesc și pentru a lua măsurile ulterioare adecvate.</w:t>
      </w:r>
    </w:p>
    <w:p w14:paraId="6E071B68" w14:textId="77777777" w:rsidR="00580D35" w:rsidRDefault="00580D35" w:rsidP="00580D35">
      <w:pPr>
        <w:spacing w:after="100" w:afterAutospacing="1"/>
        <w:contextualSpacing/>
        <w:jc w:val="both"/>
        <w:rPr>
          <w:lang w:val="ro-MD" w:eastAsia="ro-MD"/>
        </w:rPr>
      </w:pPr>
      <w:r w:rsidRPr="00580D35">
        <w:rPr>
          <w:b/>
          <w:bCs/>
          <w:lang w:val="ro-MD" w:eastAsia="ro-MD"/>
        </w:rPr>
        <w:t>79.</w:t>
      </w:r>
      <w:r w:rsidRPr="00580D35">
        <w:rPr>
          <w:lang w:val="ro-MD" w:eastAsia="ro-MD"/>
        </w:rPr>
        <w:t xml:space="preserve"> Prestatorul intermediar, dacă constată că la primirea transferului de mijloace </w:t>
      </w:r>
      <w:proofErr w:type="spellStart"/>
      <w:r w:rsidRPr="00580D35">
        <w:rPr>
          <w:lang w:val="ro-MD" w:eastAsia="ro-MD"/>
        </w:rPr>
        <w:t>băneşti</w:t>
      </w:r>
      <w:proofErr w:type="spellEnd"/>
      <w:r w:rsidRPr="00580D35">
        <w:rPr>
          <w:lang w:val="ro-MD" w:eastAsia="ro-MD"/>
        </w:rPr>
        <w:t xml:space="preserve">, </w:t>
      </w:r>
      <w:proofErr w:type="spellStart"/>
      <w:r w:rsidRPr="00580D35">
        <w:rPr>
          <w:lang w:val="ro-MD" w:eastAsia="ro-MD"/>
        </w:rPr>
        <w:t>informaţiile</w:t>
      </w:r>
      <w:proofErr w:type="spellEnd"/>
      <w:r w:rsidRPr="00580D35">
        <w:rPr>
          <w:lang w:val="ro-MD" w:eastAsia="ro-MD"/>
        </w:rPr>
        <w:t xml:space="preserve"> </w:t>
      </w:r>
      <w:proofErr w:type="spellStart"/>
      <w:r w:rsidRPr="00580D35">
        <w:rPr>
          <w:lang w:val="ro-MD" w:eastAsia="ro-MD"/>
        </w:rPr>
        <w:t>menţionate</w:t>
      </w:r>
      <w:proofErr w:type="spellEnd"/>
      <w:r w:rsidRPr="00580D35">
        <w:rPr>
          <w:lang w:val="ro-MD" w:eastAsia="ro-MD"/>
        </w:rPr>
        <w:t xml:space="preserve"> la pct. 64 </w:t>
      </w:r>
      <w:proofErr w:type="spellStart"/>
      <w:r w:rsidRPr="00580D35">
        <w:rPr>
          <w:lang w:val="ro-MD" w:eastAsia="ro-MD"/>
        </w:rPr>
        <w:t>subpct</w:t>
      </w:r>
      <w:proofErr w:type="spellEnd"/>
      <w:r w:rsidRPr="00580D35">
        <w:rPr>
          <w:lang w:val="ro-MD" w:eastAsia="ro-MD"/>
        </w:rPr>
        <w:t xml:space="preserve">. 1)-3), 65 </w:t>
      </w:r>
      <w:proofErr w:type="spellStart"/>
      <w:r w:rsidRPr="00580D35">
        <w:rPr>
          <w:lang w:val="ro-MD" w:eastAsia="ro-MD"/>
        </w:rPr>
        <w:t>subpct</w:t>
      </w:r>
      <w:proofErr w:type="spellEnd"/>
      <w:r w:rsidRPr="00580D35">
        <w:rPr>
          <w:lang w:val="ro-MD" w:eastAsia="ro-MD"/>
        </w:rPr>
        <w:t>. 1)-2), 66, 68, 69 și 69</w:t>
      </w:r>
      <w:r w:rsidRPr="00580D35">
        <w:rPr>
          <w:vertAlign w:val="superscript"/>
          <w:lang w:val="ro-MD" w:eastAsia="ro-MD"/>
        </w:rPr>
        <w:t>1</w:t>
      </w:r>
      <w:r w:rsidRPr="00580D35">
        <w:rPr>
          <w:lang w:val="ro-MD" w:eastAsia="ro-MD"/>
        </w:rPr>
        <w:t xml:space="preserve"> lipsesc sau sunt incomplete, ori nu au fost completate folosind caractere și elemente compatibile în conformitate cu convențiile sistemului de mesagerie sau de plată și decontare, astfel cum este prevăzut la pct. 71 și 76, fie respinge transferul sau solicită </w:t>
      </w:r>
      <w:proofErr w:type="spellStart"/>
      <w:r w:rsidRPr="00580D35">
        <w:rPr>
          <w:lang w:val="ro-MD" w:eastAsia="ro-MD"/>
        </w:rPr>
        <w:t>informaţiile</w:t>
      </w:r>
      <w:proofErr w:type="spellEnd"/>
      <w:r w:rsidRPr="00580D35">
        <w:rPr>
          <w:lang w:val="ro-MD" w:eastAsia="ro-MD"/>
        </w:rPr>
        <w:t xml:space="preserve"> cerute privind plătitorul </w:t>
      </w:r>
      <w:proofErr w:type="spellStart"/>
      <w:r w:rsidRPr="00580D35">
        <w:rPr>
          <w:lang w:val="ro-MD" w:eastAsia="ro-MD"/>
        </w:rPr>
        <w:t>şi</w:t>
      </w:r>
      <w:proofErr w:type="spellEnd"/>
      <w:r w:rsidRPr="00580D35">
        <w:rPr>
          <w:lang w:val="ro-MD" w:eastAsia="ro-MD"/>
        </w:rPr>
        <w:t xml:space="preserve"> beneficiarul </w:t>
      </w:r>
      <w:proofErr w:type="spellStart"/>
      <w:r w:rsidRPr="00580D35">
        <w:rPr>
          <w:lang w:val="ro-MD" w:eastAsia="ro-MD"/>
        </w:rPr>
        <w:t>plăţii</w:t>
      </w:r>
      <w:proofErr w:type="spellEnd"/>
      <w:r w:rsidRPr="00580D35">
        <w:rPr>
          <w:lang w:val="ro-MD" w:eastAsia="ro-MD"/>
        </w:rPr>
        <w:t xml:space="preserve"> înainte sau după transmiterea transferului de mijloace </w:t>
      </w:r>
      <w:proofErr w:type="spellStart"/>
      <w:r w:rsidRPr="00580D35">
        <w:rPr>
          <w:lang w:val="ro-MD" w:eastAsia="ro-MD"/>
        </w:rPr>
        <w:t>băneşti</w:t>
      </w:r>
      <w:proofErr w:type="spellEnd"/>
      <w:r w:rsidRPr="00580D35">
        <w:rPr>
          <w:lang w:val="ro-MD" w:eastAsia="ro-MD"/>
        </w:rPr>
        <w:t xml:space="preserve">, în </w:t>
      </w:r>
      <w:proofErr w:type="spellStart"/>
      <w:r w:rsidRPr="00580D35">
        <w:rPr>
          <w:lang w:val="ro-MD" w:eastAsia="ro-MD"/>
        </w:rPr>
        <w:t>funcţie</w:t>
      </w:r>
      <w:proofErr w:type="spellEnd"/>
      <w:r w:rsidRPr="00580D35">
        <w:rPr>
          <w:lang w:val="ro-MD" w:eastAsia="ro-MD"/>
        </w:rPr>
        <w:t xml:space="preserve"> de riscul asociat.</w:t>
      </w:r>
    </w:p>
    <w:p w14:paraId="22FE8EE7" w14:textId="1211AA84" w:rsidR="00580D35" w:rsidRDefault="00580D35" w:rsidP="00180FBA">
      <w:pPr>
        <w:spacing w:after="100" w:afterAutospacing="1"/>
        <w:contextualSpacing/>
        <w:jc w:val="both"/>
        <w:rPr>
          <w:lang w:val="ro-MD" w:eastAsia="ro-MD"/>
        </w:rPr>
      </w:pPr>
      <w:r w:rsidRPr="00580D35">
        <w:rPr>
          <w:b/>
          <w:bCs/>
          <w:lang w:val="ro-MD" w:eastAsia="ro-MD"/>
        </w:rPr>
        <w:t>80.</w:t>
      </w:r>
      <w:r w:rsidRPr="00580D35">
        <w:rPr>
          <w:lang w:val="ro-MD" w:eastAsia="ro-MD"/>
        </w:rPr>
        <w:t xml:space="preserve"> În cazul în care prestatorul de servici de plată care efectuează transferul omite în mod repetat să furnizeze </w:t>
      </w:r>
      <w:proofErr w:type="spellStart"/>
      <w:r w:rsidRPr="00580D35">
        <w:rPr>
          <w:lang w:val="ro-MD" w:eastAsia="ro-MD"/>
        </w:rPr>
        <w:t>informaţiile</w:t>
      </w:r>
      <w:proofErr w:type="spellEnd"/>
      <w:r w:rsidRPr="00580D35">
        <w:rPr>
          <w:lang w:val="ro-MD" w:eastAsia="ro-MD"/>
        </w:rPr>
        <w:t xml:space="preserve"> cerute cu privire la plătitor sau beneficiarul </w:t>
      </w:r>
      <w:proofErr w:type="spellStart"/>
      <w:r w:rsidRPr="00580D35">
        <w:rPr>
          <w:lang w:val="ro-MD" w:eastAsia="ro-MD"/>
        </w:rPr>
        <w:t>plăţii</w:t>
      </w:r>
      <w:proofErr w:type="spellEnd"/>
      <w:r w:rsidRPr="00580D35">
        <w:rPr>
          <w:lang w:val="ro-MD" w:eastAsia="ro-MD"/>
        </w:rPr>
        <w:t xml:space="preserve">, prestatorul ia măsuri care pot consta, mai </w:t>
      </w:r>
      <w:proofErr w:type="spellStart"/>
      <w:r w:rsidRPr="00580D35">
        <w:rPr>
          <w:lang w:val="ro-MD" w:eastAsia="ro-MD"/>
        </w:rPr>
        <w:t>întîi</w:t>
      </w:r>
      <w:proofErr w:type="spellEnd"/>
      <w:r w:rsidRPr="00580D35">
        <w:rPr>
          <w:lang w:val="ro-MD" w:eastAsia="ro-MD"/>
        </w:rPr>
        <w:t xml:space="preserve">, în emiterea unor avertismente </w:t>
      </w:r>
      <w:proofErr w:type="spellStart"/>
      <w:r w:rsidRPr="00580D35">
        <w:rPr>
          <w:lang w:val="ro-MD" w:eastAsia="ro-MD"/>
        </w:rPr>
        <w:t>şi</w:t>
      </w:r>
      <w:proofErr w:type="spellEnd"/>
      <w:r w:rsidRPr="00580D35">
        <w:rPr>
          <w:lang w:val="ro-MD" w:eastAsia="ro-MD"/>
        </w:rPr>
        <w:t xml:space="preserve"> stabilirea unor termene-limită, înainte de respingerea oricărui transfer de mijloace </w:t>
      </w:r>
      <w:proofErr w:type="spellStart"/>
      <w:r w:rsidRPr="00580D35">
        <w:rPr>
          <w:lang w:val="ro-MD" w:eastAsia="ro-MD"/>
        </w:rPr>
        <w:t>băneşti</w:t>
      </w:r>
      <w:proofErr w:type="spellEnd"/>
      <w:r w:rsidRPr="00580D35">
        <w:rPr>
          <w:lang w:val="ro-MD" w:eastAsia="ro-MD"/>
        </w:rPr>
        <w:t xml:space="preserve"> care provine de la acesta, fie în decizia de a </w:t>
      </w:r>
      <w:proofErr w:type="spellStart"/>
      <w:r w:rsidRPr="00580D35">
        <w:rPr>
          <w:lang w:val="ro-MD" w:eastAsia="ro-MD"/>
        </w:rPr>
        <w:t>restrînge</w:t>
      </w:r>
      <w:proofErr w:type="spellEnd"/>
      <w:r w:rsidRPr="00580D35">
        <w:rPr>
          <w:lang w:val="ro-MD" w:eastAsia="ro-MD"/>
        </w:rPr>
        <w:t xml:space="preserve"> sau de a înceta </w:t>
      </w:r>
      <w:proofErr w:type="spellStart"/>
      <w:r w:rsidRPr="00580D35">
        <w:rPr>
          <w:lang w:val="ro-MD" w:eastAsia="ro-MD"/>
        </w:rPr>
        <w:t>relaţia</w:t>
      </w:r>
      <w:proofErr w:type="spellEnd"/>
      <w:r w:rsidRPr="00580D35">
        <w:rPr>
          <w:lang w:val="ro-MD" w:eastAsia="ro-MD"/>
        </w:rPr>
        <w:t xml:space="preserve"> comercială cu respectivul prestator. Prestatorul intermediar informează Banca Națională a Moldovei despre aceste omisiuni, precum și despre măsurile întreprinse.</w:t>
      </w:r>
      <w:r w:rsidR="003E417F">
        <w:rPr>
          <w:lang w:val="ro-MD" w:eastAsia="ro-MD"/>
        </w:rPr>
        <w:t>”</w:t>
      </w:r>
    </w:p>
    <w:p w14:paraId="5BAD0D6C" w14:textId="77777777" w:rsidR="00180FBA" w:rsidRDefault="00180FBA" w:rsidP="00180FBA">
      <w:pPr>
        <w:spacing w:after="100" w:afterAutospacing="1"/>
        <w:contextualSpacing/>
        <w:jc w:val="both"/>
        <w:rPr>
          <w:lang w:val="ro-MD" w:eastAsia="ro-MD"/>
        </w:rPr>
      </w:pPr>
    </w:p>
    <w:p w14:paraId="4089F6E1" w14:textId="295CE837" w:rsidR="00180FBA" w:rsidRDefault="00180FBA" w:rsidP="00180FBA">
      <w:pPr>
        <w:spacing w:after="180"/>
        <w:ind w:firstLine="284"/>
        <w:jc w:val="both"/>
        <w:rPr>
          <w:lang w:val="ro-MD" w:eastAsia="ro-MD"/>
        </w:rPr>
      </w:pPr>
      <w:r>
        <w:rPr>
          <w:lang w:val="ro-MD" w:eastAsia="ro-MD"/>
        </w:rPr>
        <w:t>17)</w:t>
      </w:r>
      <w:r>
        <w:rPr>
          <w:lang w:val="ro-MD" w:eastAsia="ro-MD"/>
        </w:rPr>
        <w:tab/>
      </w:r>
      <w:r w:rsidRPr="000324BB">
        <w:rPr>
          <w:lang w:val="ro-MD" w:eastAsia="ro-MD"/>
        </w:rPr>
        <w:t>Se completează cu pct.</w:t>
      </w:r>
      <w:r>
        <w:rPr>
          <w:lang w:val="ro-MD" w:eastAsia="ro-MD"/>
        </w:rPr>
        <w:t>80</w:t>
      </w:r>
      <w:r w:rsidRPr="000324BB">
        <w:rPr>
          <w:vertAlign w:val="superscript"/>
          <w:lang w:val="ro-MD" w:eastAsia="ro-MD"/>
        </w:rPr>
        <w:t>1</w:t>
      </w:r>
      <w:r w:rsidRPr="000324BB">
        <w:rPr>
          <w:lang w:val="ro-MD" w:eastAsia="ro-MD"/>
        </w:rPr>
        <w:t xml:space="preserve"> cu următorul cuprins:</w:t>
      </w:r>
    </w:p>
    <w:p w14:paraId="3A0CE8E5" w14:textId="72403844" w:rsidR="00180FBA" w:rsidRPr="00C1241E" w:rsidRDefault="00180FBA" w:rsidP="00180FBA">
      <w:pPr>
        <w:spacing w:afterLines="900" w:after="2160"/>
        <w:contextualSpacing/>
        <w:jc w:val="both"/>
        <w:rPr>
          <w:lang w:val="ro-MD" w:eastAsia="ro-MD"/>
        </w:rPr>
      </w:pPr>
      <w:r>
        <w:rPr>
          <w:b/>
          <w:bCs/>
          <w:lang w:val="ro-MD" w:eastAsia="ro-MD"/>
        </w:rPr>
        <w:t>„</w:t>
      </w:r>
      <w:r w:rsidRPr="00180FBA">
        <w:rPr>
          <w:b/>
          <w:bCs/>
          <w:lang w:val="ro-MD" w:eastAsia="ro-MD"/>
        </w:rPr>
        <w:t>80</w:t>
      </w:r>
      <w:r w:rsidRPr="00180FBA">
        <w:rPr>
          <w:b/>
          <w:bCs/>
          <w:vertAlign w:val="superscript"/>
          <w:lang w:val="ro-MD" w:eastAsia="ro-MD"/>
        </w:rPr>
        <w:t>1</w:t>
      </w:r>
      <w:r w:rsidRPr="00180FBA">
        <w:rPr>
          <w:lang w:val="ro-MD" w:eastAsia="ro-MD"/>
        </w:rPr>
        <w:t xml:space="preserve">. </w:t>
      </w:r>
      <w:bookmarkStart w:id="48" w:name="_Hlk186197397"/>
      <w:r w:rsidRPr="00180FBA">
        <w:rPr>
          <w:lang w:val="ro-MD" w:eastAsia="ro-MD"/>
        </w:rPr>
        <w:t>Prestatorul intermediar ia în considerare informațiile lipsă privind plătitorul sau beneficiarul plății atunci când evaluează dacă transferul de fonduri sau orice tranzacție conexă este suspectă și dacă aceasta trebuie raportată Serviciului Prevenirea și Combaterea Spălării Banilor în conformitate cu art. 11 din Legea nr. 308/2017 cu privire la prevenirea și combaterea spălării banilor și finanțării terorismului.</w:t>
      </w:r>
      <w:r>
        <w:rPr>
          <w:lang w:val="ro-MD" w:eastAsia="ro-MD"/>
        </w:rPr>
        <w:t>”.</w:t>
      </w:r>
      <w:bookmarkEnd w:id="48"/>
    </w:p>
    <w:p w14:paraId="03DC4197" w14:textId="77777777" w:rsidR="00765B33" w:rsidRDefault="00765B33" w:rsidP="00524CD4">
      <w:pPr>
        <w:ind w:left="720" w:hanging="720"/>
        <w:jc w:val="both"/>
        <w:rPr>
          <w:b/>
          <w:bCs/>
          <w:lang w:val="ro-RO"/>
        </w:rPr>
      </w:pPr>
    </w:p>
    <w:p w14:paraId="2E76929D" w14:textId="2408E23F" w:rsidR="001A6D56" w:rsidRPr="00524CD4" w:rsidRDefault="00524CD4" w:rsidP="00524CD4">
      <w:pPr>
        <w:ind w:left="720" w:hanging="720"/>
        <w:jc w:val="both"/>
        <w:rPr>
          <w:lang w:val="ro-RO"/>
        </w:rPr>
      </w:pPr>
      <w:r>
        <w:rPr>
          <w:b/>
          <w:bCs/>
          <w:lang w:val="ro-RO"/>
        </w:rPr>
        <w:t>3</w:t>
      </w:r>
      <w:r w:rsidR="006648EE" w:rsidRPr="00555FDF">
        <w:rPr>
          <w:b/>
          <w:bCs/>
          <w:lang w:val="ro-RO"/>
        </w:rPr>
        <w:t xml:space="preserve">. </w:t>
      </w:r>
      <w:r w:rsidR="006648EE" w:rsidRPr="00555FDF">
        <w:rPr>
          <w:b/>
          <w:bCs/>
          <w:lang w:val="ro-RO"/>
        </w:rPr>
        <w:tab/>
      </w:r>
      <w:r w:rsidR="001A6D56" w:rsidRPr="00555FDF">
        <w:rPr>
          <w:lang w:val="ro-RO"/>
        </w:rPr>
        <w:t>Prezenta Hotărâre intră în vigoare la data publicării în Monitorul Oficial al Republicii Moldova.</w:t>
      </w:r>
    </w:p>
    <w:p w14:paraId="5C9E58D8" w14:textId="77777777" w:rsidR="006648EE" w:rsidRPr="00555FDF" w:rsidRDefault="006648EE" w:rsidP="006648EE">
      <w:pPr>
        <w:ind w:left="720" w:hanging="720"/>
        <w:rPr>
          <w:lang w:val="ro-RO"/>
        </w:rPr>
      </w:pPr>
    </w:p>
    <w:p w14:paraId="35A7E0CE" w14:textId="77777777" w:rsidR="006648EE" w:rsidRDefault="006648EE" w:rsidP="006648EE">
      <w:pPr>
        <w:jc w:val="both"/>
        <w:rPr>
          <w:b/>
          <w:bCs/>
          <w:lang w:val="ro-RO"/>
        </w:rPr>
      </w:pPr>
    </w:p>
    <w:p w14:paraId="28E2FB0A" w14:textId="77777777" w:rsidR="00B36DB7" w:rsidRPr="00555FDF" w:rsidRDefault="00B36DB7" w:rsidP="006648EE">
      <w:pPr>
        <w:jc w:val="both"/>
        <w:rPr>
          <w:b/>
          <w:bCs/>
          <w:lang w:val="ro-RO"/>
        </w:rPr>
      </w:pPr>
    </w:p>
    <w:p w14:paraId="4769F7D3" w14:textId="77777777" w:rsidR="00F03947" w:rsidRDefault="00F03947" w:rsidP="006648EE">
      <w:pPr>
        <w:jc w:val="both"/>
        <w:rPr>
          <w:rFonts w:ascii="Arial" w:hAnsi="Arial" w:cs="Arial"/>
          <w:lang w:val="ro-RO"/>
        </w:rPr>
      </w:pPr>
    </w:p>
    <w:p w14:paraId="7E8C9190" w14:textId="77777777" w:rsidR="00B36DB7" w:rsidRPr="00555FDF" w:rsidRDefault="00B36DB7" w:rsidP="006648EE">
      <w:pPr>
        <w:jc w:val="both"/>
        <w:rPr>
          <w:rFonts w:ascii="Arial" w:hAnsi="Arial" w:cs="Arial"/>
          <w:lang w:val="ro-RO"/>
        </w:rPr>
      </w:pPr>
    </w:p>
    <w:p w14:paraId="5483B3D6" w14:textId="77777777" w:rsidR="006648EE" w:rsidRPr="00555FDF" w:rsidRDefault="006648EE" w:rsidP="006648EE">
      <w:pPr>
        <w:jc w:val="both"/>
        <w:rPr>
          <w:b/>
          <w:bCs/>
          <w:lang w:val="ro-RO"/>
        </w:rPr>
      </w:pPr>
    </w:p>
    <w:p w14:paraId="5B96FDE5" w14:textId="77777777" w:rsidR="006648EE" w:rsidRPr="00555FDF" w:rsidRDefault="006648EE" w:rsidP="00180FBA">
      <w:pPr>
        <w:jc w:val="both"/>
        <w:rPr>
          <w:b/>
          <w:bCs/>
          <w:lang w:val="ro-RO"/>
        </w:rPr>
      </w:pPr>
      <w:r w:rsidRPr="00555FDF">
        <w:rPr>
          <w:b/>
          <w:bCs/>
          <w:lang w:val="ro-RO"/>
        </w:rPr>
        <w:t>PREȘEDINTELE</w:t>
      </w:r>
      <w:r w:rsidRPr="00555FDF">
        <w:rPr>
          <w:b/>
          <w:bCs/>
          <w:lang w:val="ro-RO"/>
        </w:rPr>
        <w:tab/>
      </w:r>
    </w:p>
    <w:p w14:paraId="1A07FC6C" w14:textId="6E5274FE" w:rsidR="006648EE" w:rsidRDefault="006648EE" w:rsidP="00180FBA">
      <w:pPr>
        <w:rPr>
          <w:b/>
          <w:bCs/>
          <w:lang w:val="ro-RO"/>
        </w:rPr>
      </w:pPr>
      <w:r w:rsidRPr="00555FDF">
        <w:rPr>
          <w:b/>
          <w:bCs/>
          <w:lang w:val="ro-RO"/>
        </w:rPr>
        <w:t>COMITETULUI EXECUTIV</w:t>
      </w:r>
      <w:r w:rsidRPr="00555FDF">
        <w:rPr>
          <w:b/>
          <w:bCs/>
          <w:lang w:val="ro-RO"/>
        </w:rPr>
        <w:tab/>
      </w:r>
      <w:r w:rsidRPr="00555FDF">
        <w:rPr>
          <w:b/>
          <w:bCs/>
          <w:lang w:val="ro-RO"/>
        </w:rPr>
        <w:tab/>
      </w:r>
      <w:r w:rsidRPr="00555FDF">
        <w:rPr>
          <w:b/>
          <w:bCs/>
          <w:lang w:val="ro-RO"/>
        </w:rPr>
        <w:tab/>
      </w:r>
      <w:r w:rsidR="00180FBA">
        <w:rPr>
          <w:b/>
          <w:bCs/>
          <w:lang w:val="ro-RO"/>
        </w:rPr>
        <w:tab/>
      </w:r>
      <w:r w:rsidR="00180FBA">
        <w:rPr>
          <w:b/>
          <w:bCs/>
          <w:lang w:val="ro-RO"/>
        </w:rPr>
        <w:tab/>
      </w:r>
      <w:r w:rsidR="003D5E1E">
        <w:rPr>
          <w:b/>
          <w:bCs/>
          <w:lang w:val="ro-RO"/>
        </w:rPr>
        <w:t>Anca</w:t>
      </w:r>
      <w:r w:rsidR="00B36DB7">
        <w:rPr>
          <w:b/>
          <w:bCs/>
          <w:lang w:val="ro-RO"/>
        </w:rPr>
        <w:t>-Dana</w:t>
      </w:r>
      <w:r w:rsidR="003D5E1E">
        <w:rPr>
          <w:b/>
          <w:bCs/>
          <w:lang w:val="ro-RO"/>
        </w:rPr>
        <w:t xml:space="preserve"> DRAGU</w:t>
      </w:r>
    </w:p>
    <w:p w14:paraId="5450E352" w14:textId="77777777" w:rsidR="00056202" w:rsidRPr="00056202" w:rsidRDefault="00056202" w:rsidP="00056202">
      <w:pPr>
        <w:rPr>
          <w:lang w:val="ro-RO"/>
        </w:rPr>
      </w:pPr>
    </w:p>
    <w:p w14:paraId="7AA83515" w14:textId="77777777" w:rsidR="00056202" w:rsidRPr="00056202" w:rsidRDefault="00056202" w:rsidP="00056202">
      <w:pPr>
        <w:rPr>
          <w:lang w:val="ro-RO"/>
        </w:rPr>
      </w:pPr>
    </w:p>
    <w:p w14:paraId="5D1412A0" w14:textId="77777777" w:rsidR="00056202" w:rsidRPr="00056202" w:rsidRDefault="00056202" w:rsidP="00056202">
      <w:pPr>
        <w:rPr>
          <w:lang w:val="ro-RO"/>
        </w:rPr>
      </w:pPr>
    </w:p>
    <w:p w14:paraId="453DE3E4" w14:textId="77777777" w:rsidR="00056202" w:rsidRPr="00056202" w:rsidRDefault="00056202" w:rsidP="00056202">
      <w:pPr>
        <w:rPr>
          <w:lang w:val="ro-RO"/>
        </w:rPr>
      </w:pPr>
    </w:p>
    <w:p w14:paraId="60D042FD" w14:textId="77777777" w:rsidR="00056202" w:rsidRPr="00056202" w:rsidRDefault="00056202" w:rsidP="00056202">
      <w:pPr>
        <w:rPr>
          <w:lang w:val="ro-RO"/>
        </w:rPr>
      </w:pPr>
    </w:p>
    <w:p w14:paraId="0C7BCA5E" w14:textId="77777777" w:rsidR="00056202" w:rsidRDefault="00056202" w:rsidP="00056202">
      <w:pPr>
        <w:rPr>
          <w:b/>
          <w:bCs/>
          <w:lang w:val="ro-RO"/>
        </w:rPr>
      </w:pPr>
    </w:p>
    <w:p w14:paraId="5587E51B" w14:textId="596D20B0" w:rsidR="00056202" w:rsidRPr="00056202" w:rsidRDefault="00056202" w:rsidP="00056202">
      <w:pPr>
        <w:tabs>
          <w:tab w:val="left" w:pos="2280"/>
        </w:tabs>
        <w:rPr>
          <w:lang w:val="ro-RO"/>
        </w:rPr>
      </w:pPr>
      <w:r>
        <w:rPr>
          <w:lang w:val="ro-RO"/>
        </w:rPr>
        <w:tab/>
      </w:r>
    </w:p>
    <w:sectPr w:rsidR="00056202" w:rsidRPr="00056202" w:rsidSect="00056202">
      <w:headerReference w:type="even" r:id="rId8"/>
      <w:headerReference w:type="default" r:id="rId9"/>
      <w:footerReference w:type="even" r:id="rId10"/>
      <w:footerReference w:type="default" r:id="rId11"/>
      <w:pgSz w:w="11906" w:h="16838" w:code="9"/>
      <w:pgMar w:top="1560" w:right="991" w:bottom="1276" w:left="1843"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4DDAA" w14:textId="77777777" w:rsidR="007546B2" w:rsidRDefault="007546B2" w:rsidP="00E2323A">
      <w:r>
        <w:separator/>
      </w:r>
    </w:p>
  </w:endnote>
  <w:endnote w:type="continuationSeparator" w:id="0">
    <w:p w14:paraId="30E30D0D" w14:textId="77777777" w:rsidR="007546B2" w:rsidRDefault="007546B2" w:rsidP="00E2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5903645"/>
      <w:docPartObj>
        <w:docPartGallery w:val="Page Numbers (Bottom of Page)"/>
        <w:docPartUnique/>
      </w:docPartObj>
    </w:sdtPr>
    <w:sdtEndPr>
      <w:rPr>
        <w:noProof/>
      </w:rPr>
    </w:sdtEndPr>
    <w:sdtContent>
      <w:p w14:paraId="1E17B075" w14:textId="69631551" w:rsidR="00056202" w:rsidRDefault="000562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853ED9" w14:textId="58AE95E8" w:rsidR="00E2323A" w:rsidRDefault="00E2323A" w:rsidP="00DE0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006880"/>
      <w:docPartObj>
        <w:docPartGallery w:val="Page Numbers (Bottom of Page)"/>
        <w:docPartUnique/>
      </w:docPartObj>
    </w:sdtPr>
    <w:sdtEndPr>
      <w:rPr>
        <w:noProof/>
      </w:rPr>
    </w:sdtEndPr>
    <w:sdtContent>
      <w:p w14:paraId="55CFA421" w14:textId="3391E141" w:rsidR="00056202" w:rsidRDefault="000562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0FFF0E" w14:textId="487BF0BF" w:rsidR="00E2323A" w:rsidRDefault="00E2323A" w:rsidP="00DE0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DD4E3" w14:textId="77777777" w:rsidR="007546B2" w:rsidRDefault="007546B2" w:rsidP="00E2323A">
      <w:r>
        <w:separator/>
      </w:r>
    </w:p>
  </w:footnote>
  <w:footnote w:type="continuationSeparator" w:id="0">
    <w:p w14:paraId="6847D938" w14:textId="77777777" w:rsidR="007546B2" w:rsidRDefault="007546B2" w:rsidP="00E23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11F5A" w14:textId="0A758AA7" w:rsidR="00E2323A" w:rsidRDefault="00DE02B1" w:rsidP="00DE02B1">
    <w:pPr>
      <w:pStyle w:val="Header"/>
    </w:pPr>
    <w:bookmarkStart w:id="49" w:name="TITUS1HeaderEvenPages"/>
    <w:r w:rsidRPr="00D9411A">
      <w:rPr>
        <w:color w:val="000000"/>
        <w:sz w:val="2"/>
      </w:rPr>
      <w:t> </w:t>
    </w:r>
    <w:bookmarkEnd w:id="4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01CB5" w14:textId="07C0676C" w:rsidR="00E2323A" w:rsidRDefault="00DE02B1" w:rsidP="00DE02B1">
    <w:pPr>
      <w:pStyle w:val="Header"/>
    </w:pPr>
    <w:bookmarkStart w:id="50" w:name="TITUS1HeaderPrimary"/>
    <w:r w:rsidRPr="00D9411A">
      <w:rPr>
        <w:color w:val="000000"/>
        <w:sz w:val="2"/>
      </w:rPr>
      <w:t> </w:t>
    </w:r>
    <w:bookmarkEnd w:id="5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21312"/>
    <w:multiLevelType w:val="hybridMultilevel"/>
    <w:tmpl w:val="CCC2BF76"/>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063721A2"/>
    <w:multiLevelType w:val="hybridMultilevel"/>
    <w:tmpl w:val="F23CA392"/>
    <w:lvl w:ilvl="0" w:tplc="2C3E97AA">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 w15:restartNumberingAfterBreak="0">
    <w:nsid w:val="0677327C"/>
    <w:multiLevelType w:val="hybridMultilevel"/>
    <w:tmpl w:val="0C683434"/>
    <w:lvl w:ilvl="0" w:tplc="7B7A9210">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 w15:restartNumberingAfterBreak="0">
    <w:nsid w:val="09373AB6"/>
    <w:multiLevelType w:val="hybridMultilevel"/>
    <w:tmpl w:val="F6420380"/>
    <w:lvl w:ilvl="0" w:tplc="985C9D4C">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B852C11"/>
    <w:multiLevelType w:val="hybridMultilevel"/>
    <w:tmpl w:val="5D12D312"/>
    <w:lvl w:ilvl="0" w:tplc="0C3A6E20">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DF77B9F"/>
    <w:multiLevelType w:val="hybridMultilevel"/>
    <w:tmpl w:val="523C44FE"/>
    <w:lvl w:ilvl="0" w:tplc="BCA8146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 w15:restartNumberingAfterBreak="0">
    <w:nsid w:val="12446A10"/>
    <w:multiLevelType w:val="hybridMultilevel"/>
    <w:tmpl w:val="A3B84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4421E"/>
    <w:multiLevelType w:val="hybridMultilevel"/>
    <w:tmpl w:val="5CA0D49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B4670B9"/>
    <w:multiLevelType w:val="hybridMultilevel"/>
    <w:tmpl w:val="60368048"/>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9" w15:restartNumberingAfterBreak="0">
    <w:nsid w:val="1B6C2485"/>
    <w:multiLevelType w:val="hybridMultilevel"/>
    <w:tmpl w:val="4A6A1F4E"/>
    <w:lvl w:ilvl="0" w:tplc="31BC8276">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0" w15:restartNumberingAfterBreak="0">
    <w:nsid w:val="1CCA2488"/>
    <w:multiLevelType w:val="hybridMultilevel"/>
    <w:tmpl w:val="478C3342"/>
    <w:lvl w:ilvl="0" w:tplc="5106CD1C">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15:restartNumberingAfterBreak="0">
    <w:nsid w:val="1DA629B9"/>
    <w:multiLevelType w:val="hybridMultilevel"/>
    <w:tmpl w:val="8D044888"/>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2" w15:restartNumberingAfterBreak="0">
    <w:nsid w:val="204F2E8A"/>
    <w:multiLevelType w:val="hybridMultilevel"/>
    <w:tmpl w:val="F954C30A"/>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21EA3D98"/>
    <w:multiLevelType w:val="hybridMultilevel"/>
    <w:tmpl w:val="3EBE8D6C"/>
    <w:lvl w:ilvl="0" w:tplc="0CF696AE">
      <w:start w:val="1"/>
      <w:numFmt w:val="lowerLetter"/>
      <w:lvlText w:val="%1)"/>
      <w:lvlJc w:val="left"/>
      <w:pPr>
        <w:ind w:left="1789" w:hanging="360"/>
      </w:pPr>
      <w:rPr>
        <w:rFonts w:hint="default"/>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4" w15:restartNumberingAfterBreak="0">
    <w:nsid w:val="265016F6"/>
    <w:multiLevelType w:val="hybridMultilevel"/>
    <w:tmpl w:val="D8E8DFAE"/>
    <w:lvl w:ilvl="0" w:tplc="46965150">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5" w15:restartNumberingAfterBreak="0">
    <w:nsid w:val="2AEC5259"/>
    <w:multiLevelType w:val="hybridMultilevel"/>
    <w:tmpl w:val="189C911C"/>
    <w:lvl w:ilvl="0" w:tplc="DE7E1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DB0968"/>
    <w:multiLevelType w:val="hybridMultilevel"/>
    <w:tmpl w:val="F7562C12"/>
    <w:lvl w:ilvl="0" w:tplc="08180017">
      <w:start w:val="1"/>
      <w:numFmt w:val="lowerLetter"/>
      <w:lvlText w:val="%1)"/>
      <w:lvlJc w:val="left"/>
      <w:pPr>
        <w:ind w:left="1429" w:hanging="360"/>
      </w:pPr>
    </w:lvl>
    <w:lvl w:ilvl="1" w:tplc="08180019">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7" w15:restartNumberingAfterBreak="0">
    <w:nsid w:val="2DF84E86"/>
    <w:multiLevelType w:val="hybridMultilevel"/>
    <w:tmpl w:val="9C502BA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F656827"/>
    <w:multiLevelType w:val="hybridMultilevel"/>
    <w:tmpl w:val="339410B2"/>
    <w:lvl w:ilvl="0" w:tplc="846C9498">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321F7C2D"/>
    <w:multiLevelType w:val="hybridMultilevel"/>
    <w:tmpl w:val="9B9E98D4"/>
    <w:lvl w:ilvl="0" w:tplc="33AE15DA">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0" w15:restartNumberingAfterBreak="0">
    <w:nsid w:val="381002B4"/>
    <w:multiLevelType w:val="hybridMultilevel"/>
    <w:tmpl w:val="491C1E86"/>
    <w:lvl w:ilvl="0" w:tplc="1C08BC88">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1" w15:restartNumberingAfterBreak="0">
    <w:nsid w:val="38FE1CB6"/>
    <w:multiLevelType w:val="hybridMultilevel"/>
    <w:tmpl w:val="80C20142"/>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2" w15:restartNumberingAfterBreak="0">
    <w:nsid w:val="43D91B51"/>
    <w:multiLevelType w:val="hybridMultilevel"/>
    <w:tmpl w:val="8662FC92"/>
    <w:lvl w:ilvl="0" w:tplc="11F4057A">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3" w15:restartNumberingAfterBreak="0">
    <w:nsid w:val="4DED32CE"/>
    <w:multiLevelType w:val="hybridMultilevel"/>
    <w:tmpl w:val="2ECCD59E"/>
    <w:lvl w:ilvl="0" w:tplc="0CF696AE">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4" w15:restartNumberingAfterBreak="0">
    <w:nsid w:val="4EFF552D"/>
    <w:multiLevelType w:val="hybridMultilevel"/>
    <w:tmpl w:val="D41009BA"/>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52C17FE9"/>
    <w:multiLevelType w:val="hybridMultilevel"/>
    <w:tmpl w:val="C1CEAC86"/>
    <w:lvl w:ilvl="0" w:tplc="08180011">
      <w:start w:val="1"/>
      <w:numFmt w:val="decimal"/>
      <w:lvlText w:val="%1)"/>
      <w:lvlJc w:val="left"/>
      <w:pPr>
        <w:ind w:left="1800" w:hanging="360"/>
      </w:p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26" w15:restartNumberingAfterBreak="0">
    <w:nsid w:val="58515B21"/>
    <w:multiLevelType w:val="hybridMultilevel"/>
    <w:tmpl w:val="BD78148E"/>
    <w:lvl w:ilvl="0" w:tplc="4F7CABE2">
      <w:start w:val="1"/>
      <w:numFmt w:val="decimal"/>
      <w:lvlText w:val="%1."/>
      <w:lvlJc w:val="left"/>
      <w:pPr>
        <w:ind w:left="720" w:hanging="360"/>
      </w:pPr>
      <w:rPr>
        <w:rFonts w:hint="default"/>
        <w:b/>
      </w:rPr>
    </w:lvl>
    <w:lvl w:ilvl="1" w:tplc="F8543432">
      <w:start w:val="1"/>
      <w:numFmt w:val="lowerLetter"/>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5A0F4561"/>
    <w:multiLevelType w:val="hybridMultilevel"/>
    <w:tmpl w:val="C090E330"/>
    <w:lvl w:ilvl="0" w:tplc="B01E08B8">
      <w:start w:val="1"/>
      <w:numFmt w:val="lowerLetter"/>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8" w15:restartNumberingAfterBreak="0">
    <w:nsid w:val="5E192D00"/>
    <w:multiLevelType w:val="hybridMultilevel"/>
    <w:tmpl w:val="450C4C36"/>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610425DC"/>
    <w:multiLevelType w:val="hybridMultilevel"/>
    <w:tmpl w:val="3DE29C62"/>
    <w:lvl w:ilvl="0" w:tplc="0EA4F776">
      <w:start w:val="1"/>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0" w15:restartNumberingAfterBreak="0">
    <w:nsid w:val="61361429"/>
    <w:multiLevelType w:val="hybridMultilevel"/>
    <w:tmpl w:val="1B4699D0"/>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62134B41"/>
    <w:multiLevelType w:val="hybridMultilevel"/>
    <w:tmpl w:val="1084ED36"/>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64044916"/>
    <w:multiLevelType w:val="hybridMultilevel"/>
    <w:tmpl w:val="76C85EB2"/>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94832"/>
    <w:multiLevelType w:val="hybridMultilevel"/>
    <w:tmpl w:val="6764C0E8"/>
    <w:lvl w:ilvl="0" w:tplc="FCFE512C">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4" w15:restartNumberingAfterBreak="0">
    <w:nsid w:val="682826B6"/>
    <w:multiLevelType w:val="hybridMultilevel"/>
    <w:tmpl w:val="908E188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9756BDC"/>
    <w:multiLevelType w:val="hybridMultilevel"/>
    <w:tmpl w:val="0F72F2B8"/>
    <w:lvl w:ilvl="0" w:tplc="0818000F">
      <w:start w:val="5"/>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6D6C0F29"/>
    <w:multiLevelType w:val="hybridMultilevel"/>
    <w:tmpl w:val="3BF0B5E4"/>
    <w:lvl w:ilvl="0" w:tplc="FBA6BA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DD0BFB"/>
    <w:multiLevelType w:val="hybridMultilevel"/>
    <w:tmpl w:val="9286C770"/>
    <w:lvl w:ilvl="0" w:tplc="57D05AC4">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8" w15:restartNumberingAfterBreak="0">
    <w:nsid w:val="735D0D85"/>
    <w:multiLevelType w:val="hybridMultilevel"/>
    <w:tmpl w:val="E63E8F5C"/>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9" w15:restartNumberingAfterBreak="0">
    <w:nsid w:val="7BF529CC"/>
    <w:multiLevelType w:val="hybridMultilevel"/>
    <w:tmpl w:val="BB5EA900"/>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7CAF0843"/>
    <w:multiLevelType w:val="hybridMultilevel"/>
    <w:tmpl w:val="5D0C143E"/>
    <w:lvl w:ilvl="0" w:tplc="37C00C40">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1" w15:restartNumberingAfterBreak="0">
    <w:nsid w:val="7D35264A"/>
    <w:multiLevelType w:val="hybridMultilevel"/>
    <w:tmpl w:val="7E62FBD2"/>
    <w:lvl w:ilvl="0" w:tplc="D0FE4BF6">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num w:numId="1" w16cid:durableId="1732727711">
    <w:abstractNumId w:val="6"/>
  </w:num>
  <w:num w:numId="2" w16cid:durableId="1457337885">
    <w:abstractNumId w:val="32"/>
  </w:num>
  <w:num w:numId="3" w16cid:durableId="643311445">
    <w:abstractNumId w:val="36"/>
  </w:num>
  <w:num w:numId="4" w16cid:durableId="227305045">
    <w:abstractNumId w:val="15"/>
  </w:num>
  <w:num w:numId="5" w16cid:durableId="2075200015">
    <w:abstractNumId w:val="9"/>
  </w:num>
  <w:num w:numId="6" w16cid:durableId="215706906">
    <w:abstractNumId w:val="27"/>
  </w:num>
  <w:num w:numId="7" w16cid:durableId="1954359276">
    <w:abstractNumId w:val="2"/>
  </w:num>
  <w:num w:numId="8" w16cid:durableId="1951936303">
    <w:abstractNumId w:val="41"/>
  </w:num>
  <w:num w:numId="9" w16cid:durableId="671688866">
    <w:abstractNumId w:val="23"/>
  </w:num>
  <w:num w:numId="10" w16cid:durableId="1532962097">
    <w:abstractNumId w:val="12"/>
  </w:num>
  <w:num w:numId="11" w16cid:durableId="162666007">
    <w:abstractNumId w:val="37"/>
  </w:num>
  <w:num w:numId="12" w16cid:durableId="981156216">
    <w:abstractNumId w:val="39"/>
  </w:num>
  <w:num w:numId="13" w16cid:durableId="609582518">
    <w:abstractNumId w:val="33"/>
  </w:num>
  <w:num w:numId="14" w16cid:durableId="920024785">
    <w:abstractNumId w:val="22"/>
  </w:num>
  <w:num w:numId="15" w16cid:durableId="682516800">
    <w:abstractNumId w:val="40"/>
  </w:num>
  <w:num w:numId="16" w16cid:durableId="1892426749">
    <w:abstractNumId w:val="5"/>
  </w:num>
  <w:num w:numId="17" w16cid:durableId="1947299701">
    <w:abstractNumId w:val="10"/>
  </w:num>
  <w:num w:numId="18" w16cid:durableId="1554388993">
    <w:abstractNumId w:val="20"/>
  </w:num>
  <w:num w:numId="19" w16cid:durableId="683898131">
    <w:abstractNumId w:val="14"/>
  </w:num>
  <w:num w:numId="20" w16cid:durableId="407921791">
    <w:abstractNumId w:val="1"/>
  </w:num>
  <w:num w:numId="21" w16cid:durableId="63921808">
    <w:abstractNumId w:val="31"/>
  </w:num>
  <w:num w:numId="22" w16cid:durableId="1881942405">
    <w:abstractNumId w:val="4"/>
  </w:num>
  <w:num w:numId="23" w16cid:durableId="1872760579">
    <w:abstractNumId w:val="19"/>
  </w:num>
  <w:num w:numId="24" w16cid:durableId="1970353350">
    <w:abstractNumId w:val="3"/>
  </w:num>
  <w:num w:numId="25" w16cid:durableId="1091243690">
    <w:abstractNumId w:val="11"/>
  </w:num>
  <w:num w:numId="26" w16cid:durableId="87506569">
    <w:abstractNumId w:val="30"/>
  </w:num>
  <w:num w:numId="27" w16cid:durableId="357897735">
    <w:abstractNumId w:val="24"/>
  </w:num>
  <w:num w:numId="28" w16cid:durableId="1383821938">
    <w:abstractNumId w:val="28"/>
  </w:num>
  <w:num w:numId="29" w16cid:durableId="1116216443">
    <w:abstractNumId w:val="25"/>
  </w:num>
  <w:num w:numId="30" w16cid:durableId="940070037">
    <w:abstractNumId w:val="7"/>
  </w:num>
  <w:num w:numId="31" w16cid:durableId="502939701">
    <w:abstractNumId w:val="38"/>
  </w:num>
  <w:num w:numId="32" w16cid:durableId="1024789208">
    <w:abstractNumId w:val="8"/>
  </w:num>
  <w:num w:numId="33" w16cid:durableId="837767601">
    <w:abstractNumId w:val="21"/>
  </w:num>
  <w:num w:numId="34" w16cid:durableId="498279658">
    <w:abstractNumId w:val="0"/>
  </w:num>
  <w:num w:numId="35" w16cid:durableId="143930407">
    <w:abstractNumId w:val="35"/>
  </w:num>
  <w:num w:numId="36" w16cid:durableId="1311520345">
    <w:abstractNumId w:val="26"/>
  </w:num>
  <w:num w:numId="37" w16cid:durableId="956058429">
    <w:abstractNumId w:val="16"/>
  </w:num>
  <w:num w:numId="38" w16cid:durableId="463080148">
    <w:abstractNumId w:val="13"/>
  </w:num>
  <w:num w:numId="39" w16cid:durableId="875116357">
    <w:abstractNumId w:val="29"/>
  </w:num>
  <w:num w:numId="40" w16cid:durableId="1857235268">
    <w:abstractNumId w:val="34"/>
  </w:num>
  <w:num w:numId="41" w16cid:durableId="2144544822">
    <w:abstractNumId w:val="17"/>
  </w:num>
  <w:num w:numId="42" w16cid:durableId="173978726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D"/>
    <w:rsid w:val="000008A9"/>
    <w:rsid w:val="00021382"/>
    <w:rsid w:val="00030130"/>
    <w:rsid w:val="000324BB"/>
    <w:rsid w:val="00042D75"/>
    <w:rsid w:val="00055125"/>
    <w:rsid w:val="00056202"/>
    <w:rsid w:val="000641A0"/>
    <w:rsid w:val="000824B9"/>
    <w:rsid w:val="00085C3E"/>
    <w:rsid w:val="000A1BAA"/>
    <w:rsid w:val="000A4E10"/>
    <w:rsid w:val="000C1A56"/>
    <w:rsid w:val="000C28A7"/>
    <w:rsid w:val="000C686D"/>
    <w:rsid w:val="000C7075"/>
    <w:rsid w:val="000C7B40"/>
    <w:rsid w:val="000D1FB2"/>
    <w:rsid w:val="000D6270"/>
    <w:rsid w:val="000D750A"/>
    <w:rsid w:val="000D76EA"/>
    <w:rsid w:val="000E23CD"/>
    <w:rsid w:val="000E285A"/>
    <w:rsid w:val="000E4061"/>
    <w:rsid w:val="000E41F1"/>
    <w:rsid w:val="000E78FD"/>
    <w:rsid w:val="000F06DE"/>
    <w:rsid w:val="000F21CD"/>
    <w:rsid w:val="001064BA"/>
    <w:rsid w:val="00106D16"/>
    <w:rsid w:val="00110B85"/>
    <w:rsid w:val="00113BB8"/>
    <w:rsid w:val="00120F65"/>
    <w:rsid w:val="00122861"/>
    <w:rsid w:val="0012381A"/>
    <w:rsid w:val="001244E0"/>
    <w:rsid w:val="00126C1E"/>
    <w:rsid w:val="00131FBD"/>
    <w:rsid w:val="00140323"/>
    <w:rsid w:val="00146CD8"/>
    <w:rsid w:val="0015638F"/>
    <w:rsid w:val="00166D18"/>
    <w:rsid w:val="0017563D"/>
    <w:rsid w:val="00177347"/>
    <w:rsid w:val="00180FBA"/>
    <w:rsid w:val="0019179C"/>
    <w:rsid w:val="001A24CD"/>
    <w:rsid w:val="001A6D56"/>
    <w:rsid w:val="001A6D77"/>
    <w:rsid w:val="001B0FEC"/>
    <w:rsid w:val="001B365A"/>
    <w:rsid w:val="001B7504"/>
    <w:rsid w:val="001D124E"/>
    <w:rsid w:val="001D20F8"/>
    <w:rsid w:val="001E7E62"/>
    <w:rsid w:val="001F460F"/>
    <w:rsid w:val="00205D63"/>
    <w:rsid w:val="00210EFA"/>
    <w:rsid w:val="00215DF3"/>
    <w:rsid w:val="00221A54"/>
    <w:rsid w:val="0024130A"/>
    <w:rsid w:val="00245A85"/>
    <w:rsid w:val="00255CC8"/>
    <w:rsid w:val="00256F99"/>
    <w:rsid w:val="00272C5D"/>
    <w:rsid w:val="00283432"/>
    <w:rsid w:val="00285FAD"/>
    <w:rsid w:val="002951C0"/>
    <w:rsid w:val="0029628D"/>
    <w:rsid w:val="002A2900"/>
    <w:rsid w:val="002B1B20"/>
    <w:rsid w:val="002B23E8"/>
    <w:rsid w:val="002C42C8"/>
    <w:rsid w:val="002C669F"/>
    <w:rsid w:val="002D0E48"/>
    <w:rsid w:val="002D2CA3"/>
    <w:rsid w:val="002F11A0"/>
    <w:rsid w:val="002F134A"/>
    <w:rsid w:val="002F5439"/>
    <w:rsid w:val="00310C54"/>
    <w:rsid w:val="0031134A"/>
    <w:rsid w:val="00326433"/>
    <w:rsid w:val="00327A99"/>
    <w:rsid w:val="0033569F"/>
    <w:rsid w:val="0034314E"/>
    <w:rsid w:val="00350026"/>
    <w:rsid w:val="00350EB2"/>
    <w:rsid w:val="00351E81"/>
    <w:rsid w:val="00356C1A"/>
    <w:rsid w:val="00357AD7"/>
    <w:rsid w:val="00363087"/>
    <w:rsid w:val="00366DB4"/>
    <w:rsid w:val="00371C98"/>
    <w:rsid w:val="00377C7B"/>
    <w:rsid w:val="003805C7"/>
    <w:rsid w:val="0038118D"/>
    <w:rsid w:val="00390F26"/>
    <w:rsid w:val="003960C0"/>
    <w:rsid w:val="003B5EDE"/>
    <w:rsid w:val="003C1462"/>
    <w:rsid w:val="003C3D7F"/>
    <w:rsid w:val="003D248D"/>
    <w:rsid w:val="003D2F83"/>
    <w:rsid w:val="003D5E1E"/>
    <w:rsid w:val="003E417F"/>
    <w:rsid w:val="003E606C"/>
    <w:rsid w:val="003E625C"/>
    <w:rsid w:val="003F181F"/>
    <w:rsid w:val="00400AA5"/>
    <w:rsid w:val="004020AC"/>
    <w:rsid w:val="00410AD8"/>
    <w:rsid w:val="00413571"/>
    <w:rsid w:val="00415F90"/>
    <w:rsid w:val="00417FCE"/>
    <w:rsid w:val="00421C9F"/>
    <w:rsid w:val="00422458"/>
    <w:rsid w:val="00426ECA"/>
    <w:rsid w:val="00434F0F"/>
    <w:rsid w:val="004359F6"/>
    <w:rsid w:val="00441E54"/>
    <w:rsid w:val="004428C1"/>
    <w:rsid w:val="00444F87"/>
    <w:rsid w:val="00446A49"/>
    <w:rsid w:val="0045311D"/>
    <w:rsid w:val="0045406C"/>
    <w:rsid w:val="004573DB"/>
    <w:rsid w:val="00476B94"/>
    <w:rsid w:val="00484077"/>
    <w:rsid w:val="004865DE"/>
    <w:rsid w:val="004926C8"/>
    <w:rsid w:val="0049438B"/>
    <w:rsid w:val="00494E1A"/>
    <w:rsid w:val="004B1A6C"/>
    <w:rsid w:val="004B2FC2"/>
    <w:rsid w:val="004C5835"/>
    <w:rsid w:val="004E0A63"/>
    <w:rsid w:val="004E5DFC"/>
    <w:rsid w:val="004F06D4"/>
    <w:rsid w:val="004F13B8"/>
    <w:rsid w:val="004F6B70"/>
    <w:rsid w:val="00501D10"/>
    <w:rsid w:val="00502714"/>
    <w:rsid w:val="005074E0"/>
    <w:rsid w:val="00507661"/>
    <w:rsid w:val="0052218B"/>
    <w:rsid w:val="00524CD4"/>
    <w:rsid w:val="00532C79"/>
    <w:rsid w:val="0054776E"/>
    <w:rsid w:val="00553852"/>
    <w:rsid w:val="0055428A"/>
    <w:rsid w:val="00555FDF"/>
    <w:rsid w:val="005619FC"/>
    <w:rsid w:val="005632B1"/>
    <w:rsid w:val="005754C6"/>
    <w:rsid w:val="005803B7"/>
    <w:rsid w:val="0058064A"/>
    <w:rsid w:val="00580D35"/>
    <w:rsid w:val="005A10FC"/>
    <w:rsid w:val="005A2B2A"/>
    <w:rsid w:val="005B53BA"/>
    <w:rsid w:val="005C5A11"/>
    <w:rsid w:val="005C63A8"/>
    <w:rsid w:val="005F2E99"/>
    <w:rsid w:val="005F3F17"/>
    <w:rsid w:val="006107BB"/>
    <w:rsid w:val="0061273C"/>
    <w:rsid w:val="00612D0B"/>
    <w:rsid w:val="00614587"/>
    <w:rsid w:val="00616F13"/>
    <w:rsid w:val="00620FFC"/>
    <w:rsid w:val="006235AD"/>
    <w:rsid w:val="00637E05"/>
    <w:rsid w:val="006513BB"/>
    <w:rsid w:val="0065153B"/>
    <w:rsid w:val="00651FCE"/>
    <w:rsid w:val="00663C9C"/>
    <w:rsid w:val="006648EE"/>
    <w:rsid w:val="00664A99"/>
    <w:rsid w:val="006702AC"/>
    <w:rsid w:val="00673907"/>
    <w:rsid w:val="006805EF"/>
    <w:rsid w:val="006808B5"/>
    <w:rsid w:val="00685702"/>
    <w:rsid w:val="00692C9C"/>
    <w:rsid w:val="00696022"/>
    <w:rsid w:val="006A0395"/>
    <w:rsid w:val="006A0894"/>
    <w:rsid w:val="006A4D06"/>
    <w:rsid w:val="006C263D"/>
    <w:rsid w:val="006D0C24"/>
    <w:rsid w:val="006D77FB"/>
    <w:rsid w:val="006E0A2A"/>
    <w:rsid w:val="006E23CD"/>
    <w:rsid w:val="006E3898"/>
    <w:rsid w:val="006F59A1"/>
    <w:rsid w:val="007024E7"/>
    <w:rsid w:val="00707559"/>
    <w:rsid w:val="007250D0"/>
    <w:rsid w:val="007277F3"/>
    <w:rsid w:val="007546B2"/>
    <w:rsid w:val="00761F04"/>
    <w:rsid w:val="007636AC"/>
    <w:rsid w:val="00765B33"/>
    <w:rsid w:val="00770D5F"/>
    <w:rsid w:val="00776C24"/>
    <w:rsid w:val="0077786C"/>
    <w:rsid w:val="0079311A"/>
    <w:rsid w:val="007B4EF2"/>
    <w:rsid w:val="007C2352"/>
    <w:rsid w:val="007C74F6"/>
    <w:rsid w:val="007E2B77"/>
    <w:rsid w:val="007E4179"/>
    <w:rsid w:val="007E7E96"/>
    <w:rsid w:val="007F676D"/>
    <w:rsid w:val="00820983"/>
    <w:rsid w:val="00820EA7"/>
    <w:rsid w:val="00832BF9"/>
    <w:rsid w:val="008335A5"/>
    <w:rsid w:val="00842A11"/>
    <w:rsid w:val="00842D02"/>
    <w:rsid w:val="00845402"/>
    <w:rsid w:val="00846254"/>
    <w:rsid w:val="00851282"/>
    <w:rsid w:val="00870A0B"/>
    <w:rsid w:val="0087278C"/>
    <w:rsid w:val="0087453C"/>
    <w:rsid w:val="008838F6"/>
    <w:rsid w:val="00887473"/>
    <w:rsid w:val="0088779D"/>
    <w:rsid w:val="008900DE"/>
    <w:rsid w:val="00893778"/>
    <w:rsid w:val="008A52AF"/>
    <w:rsid w:val="008A7C6F"/>
    <w:rsid w:val="008B3477"/>
    <w:rsid w:val="008C0A7A"/>
    <w:rsid w:val="008C40AA"/>
    <w:rsid w:val="008D187B"/>
    <w:rsid w:val="008D5B25"/>
    <w:rsid w:val="008E2FFA"/>
    <w:rsid w:val="008E714A"/>
    <w:rsid w:val="008F0F82"/>
    <w:rsid w:val="00904F4F"/>
    <w:rsid w:val="00915F0F"/>
    <w:rsid w:val="00943545"/>
    <w:rsid w:val="00944F5D"/>
    <w:rsid w:val="0095376D"/>
    <w:rsid w:val="00954A1A"/>
    <w:rsid w:val="00960C5A"/>
    <w:rsid w:val="00967220"/>
    <w:rsid w:val="009705DB"/>
    <w:rsid w:val="009739AB"/>
    <w:rsid w:val="0098217D"/>
    <w:rsid w:val="009824DF"/>
    <w:rsid w:val="00994774"/>
    <w:rsid w:val="009A0942"/>
    <w:rsid w:val="009A1A20"/>
    <w:rsid w:val="009A776E"/>
    <w:rsid w:val="009A7890"/>
    <w:rsid w:val="009B375D"/>
    <w:rsid w:val="009C45BA"/>
    <w:rsid w:val="009C6A0A"/>
    <w:rsid w:val="009D7181"/>
    <w:rsid w:val="009E268C"/>
    <w:rsid w:val="009F2CE5"/>
    <w:rsid w:val="00A039DE"/>
    <w:rsid w:val="00A100D5"/>
    <w:rsid w:val="00A12149"/>
    <w:rsid w:val="00A14A6E"/>
    <w:rsid w:val="00A21EB5"/>
    <w:rsid w:val="00A233B5"/>
    <w:rsid w:val="00A65E35"/>
    <w:rsid w:val="00A66443"/>
    <w:rsid w:val="00A77C2C"/>
    <w:rsid w:val="00A8166F"/>
    <w:rsid w:val="00A81E5C"/>
    <w:rsid w:val="00A81FE3"/>
    <w:rsid w:val="00A8553C"/>
    <w:rsid w:val="00A9533D"/>
    <w:rsid w:val="00AA6C3E"/>
    <w:rsid w:val="00AB1201"/>
    <w:rsid w:val="00AB4046"/>
    <w:rsid w:val="00AB7DF8"/>
    <w:rsid w:val="00AC2315"/>
    <w:rsid w:val="00AC2EBC"/>
    <w:rsid w:val="00AC4F18"/>
    <w:rsid w:val="00AC6F53"/>
    <w:rsid w:val="00AD0AF9"/>
    <w:rsid w:val="00AD0EB1"/>
    <w:rsid w:val="00AD32C4"/>
    <w:rsid w:val="00AD33A6"/>
    <w:rsid w:val="00AD476D"/>
    <w:rsid w:val="00AD60FF"/>
    <w:rsid w:val="00AE5D2F"/>
    <w:rsid w:val="00AE5E4A"/>
    <w:rsid w:val="00B0232E"/>
    <w:rsid w:val="00B05100"/>
    <w:rsid w:val="00B07C99"/>
    <w:rsid w:val="00B21006"/>
    <w:rsid w:val="00B23A3A"/>
    <w:rsid w:val="00B247D8"/>
    <w:rsid w:val="00B275C5"/>
    <w:rsid w:val="00B30516"/>
    <w:rsid w:val="00B36069"/>
    <w:rsid w:val="00B3632A"/>
    <w:rsid w:val="00B36DB7"/>
    <w:rsid w:val="00B37621"/>
    <w:rsid w:val="00B464FA"/>
    <w:rsid w:val="00B530D3"/>
    <w:rsid w:val="00B549BA"/>
    <w:rsid w:val="00B75CE9"/>
    <w:rsid w:val="00B76D52"/>
    <w:rsid w:val="00B80D35"/>
    <w:rsid w:val="00B82643"/>
    <w:rsid w:val="00B82736"/>
    <w:rsid w:val="00B84F06"/>
    <w:rsid w:val="00B945B5"/>
    <w:rsid w:val="00BA2718"/>
    <w:rsid w:val="00BA328D"/>
    <w:rsid w:val="00BA73FC"/>
    <w:rsid w:val="00BB1D0B"/>
    <w:rsid w:val="00BB34DC"/>
    <w:rsid w:val="00BB7B7B"/>
    <w:rsid w:val="00BC3130"/>
    <w:rsid w:val="00BF1626"/>
    <w:rsid w:val="00C013D1"/>
    <w:rsid w:val="00C01804"/>
    <w:rsid w:val="00C111E3"/>
    <w:rsid w:val="00C1241E"/>
    <w:rsid w:val="00C15E49"/>
    <w:rsid w:val="00C17E88"/>
    <w:rsid w:val="00C22F87"/>
    <w:rsid w:val="00C269A9"/>
    <w:rsid w:val="00C40E00"/>
    <w:rsid w:val="00C435ED"/>
    <w:rsid w:val="00C52B16"/>
    <w:rsid w:val="00C57707"/>
    <w:rsid w:val="00C63F2C"/>
    <w:rsid w:val="00C70FB4"/>
    <w:rsid w:val="00C73999"/>
    <w:rsid w:val="00C827F9"/>
    <w:rsid w:val="00C8374F"/>
    <w:rsid w:val="00C90058"/>
    <w:rsid w:val="00C97589"/>
    <w:rsid w:val="00CA5AF9"/>
    <w:rsid w:val="00CB360E"/>
    <w:rsid w:val="00CB5C45"/>
    <w:rsid w:val="00CC592C"/>
    <w:rsid w:val="00CC7AF8"/>
    <w:rsid w:val="00CD6929"/>
    <w:rsid w:val="00CE1B56"/>
    <w:rsid w:val="00CF0482"/>
    <w:rsid w:val="00CF0F39"/>
    <w:rsid w:val="00D01555"/>
    <w:rsid w:val="00D01AF9"/>
    <w:rsid w:val="00D01BBC"/>
    <w:rsid w:val="00D1104C"/>
    <w:rsid w:val="00D156CE"/>
    <w:rsid w:val="00D3751A"/>
    <w:rsid w:val="00D40FF5"/>
    <w:rsid w:val="00D4401D"/>
    <w:rsid w:val="00D52924"/>
    <w:rsid w:val="00D54138"/>
    <w:rsid w:val="00D55F00"/>
    <w:rsid w:val="00D60976"/>
    <w:rsid w:val="00D70B05"/>
    <w:rsid w:val="00D76EBE"/>
    <w:rsid w:val="00D841BA"/>
    <w:rsid w:val="00D84C7D"/>
    <w:rsid w:val="00D9062C"/>
    <w:rsid w:val="00D9411A"/>
    <w:rsid w:val="00D94257"/>
    <w:rsid w:val="00DB1479"/>
    <w:rsid w:val="00DB325B"/>
    <w:rsid w:val="00DC24A8"/>
    <w:rsid w:val="00DC55A4"/>
    <w:rsid w:val="00DE02B1"/>
    <w:rsid w:val="00DE0C3D"/>
    <w:rsid w:val="00DF438B"/>
    <w:rsid w:val="00DF6BB6"/>
    <w:rsid w:val="00E0199C"/>
    <w:rsid w:val="00E02970"/>
    <w:rsid w:val="00E06500"/>
    <w:rsid w:val="00E07749"/>
    <w:rsid w:val="00E07F4B"/>
    <w:rsid w:val="00E14C28"/>
    <w:rsid w:val="00E16773"/>
    <w:rsid w:val="00E213A0"/>
    <w:rsid w:val="00E2323A"/>
    <w:rsid w:val="00E338D5"/>
    <w:rsid w:val="00E42720"/>
    <w:rsid w:val="00E44390"/>
    <w:rsid w:val="00E54398"/>
    <w:rsid w:val="00E56AE5"/>
    <w:rsid w:val="00E64008"/>
    <w:rsid w:val="00E66CBF"/>
    <w:rsid w:val="00E71400"/>
    <w:rsid w:val="00E756DC"/>
    <w:rsid w:val="00E81FED"/>
    <w:rsid w:val="00E86948"/>
    <w:rsid w:val="00E914B8"/>
    <w:rsid w:val="00E95638"/>
    <w:rsid w:val="00EA0923"/>
    <w:rsid w:val="00EA125C"/>
    <w:rsid w:val="00EA22AA"/>
    <w:rsid w:val="00EB424D"/>
    <w:rsid w:val="00EB72F7"/>
    <w:rsid w:val="00EC2AED"/>
    <w:rsid w:val="00EC7D46"/>
    <w:rsid w:val="00ED3B2B"/>
    <w:rsid w:val="00ED4512"/>
    <w:rsid w:val="00EE7165"/>
    <w:rsid w:val="00EF0169"/>
    <w:rsid w:val="00EF27E3"/>
    <w:rsid w:val="00EF5F00"/>
    <w:rsid w:val="00EF6DA9"/>
    <w:rsid w:val="00F03947"/>
    <w:rsid w:val="00F170DF"/>
    <w:rsid w:val="00F2317D"/>
    <w:rsid w:val="00F260F0"/>
    <w:rsid w:val="00F26AB3"/>
    <w:rsid w:val="00F402DD"/>
    <w:rsid w:val="00F4047A"/>
    <w:rsid w:val="00F41A66"/>
    <w:rsid w:val="00F42317"/>
    <w:rsid w:val="00F52155"/>
    <w:rsid w:val="00F5424B"/>
    <w:rsid w:val="00F65F99"/>
    <w:rsid w:val="00F66BF7"/>
    <w:rsid w:val="00F724AA"/>
    <w:rsid w:val="00F760E1"/>
    <w:rsid w:val="00F77FB8"/>
    <w:rsid w:val="00F867A6"/>
    <w:rsid w:val="00F90570"/>
    <w:rsid w:val="00F93278"/>
    <w:rsid w:val="00F96B7A"/>
    <w:rsid w:val="00FA1272"/>
    <w:rsid w:val="00FA295B"/>
    <w:rsid w:val="00FA3647"/>
    <w:rsid w:val="00FA7EF9"/>
    <w:rsid w:val="00FB078F"/>
    <w:rsid w:val="00FC1713"/>
    <w:rsid w:val="00FC7388"/>
    <w:rsid w:val="00FD207C"/>
    <w:rsid w:val="00FD31CE"/>
    <w:rsid w:val="00FE1D4A"/>
    <w:rsid w:val="00FE4C65"/>
    <w:rsid w:val="00FE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347EA"/>
  <w15:chartTrackingRefBased/>
  <w15:docId w15:val="{B87FAD2A-8ACD-415F-8834-0CC4B8CC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B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45A8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4FA"/>
    <w:pPr>
      <w:ind w:left="720"/>
      <w:contextualSpacing/>
    </w:pPr>
  </w:style>
  <w:style w:type="character" w:customStyle="1" w:styleId="Heading1Char">
    <w:name w:val="Heading 1 Char"/>
    <w:basedOn w:val="DefaultParagraphFont"/>
    <w:link w:val="Heading1"/>
    <w:uiPriority w:val="9"/>
    <w:rsid w:val="00245A85"/>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E2323A"/>
    <w:pPr>
      <w:tabs>
        <w:tab w:val="center" w:pos="4844"/>
        <w:tab w:val="right" w:pos="9689"/>
      </w:tabs>
    </w:pPr>
  </w:style>
  <w:style w:type="character" w:customStyle="1" w:styleId="HeaderChar">
    <w:name w:val="Header Char"/>
    <w:basedOn w:val="DefaultParagraphFont"/>
    <w:link w:val="Header"/>
    <w:uiPriority w:val="99"/>
    <w:rsid w:val="00E232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23A"/>
    <w:pPr>
      <w:tabs>
        <w:tab w:val="center" w:pos="4844"/>
        <w:tab w:val="right" w:pos="9689"/>
      </w:tabs>
    </w:pPr>
  </w:style>
  <w:style w:type="character" w:customStyle="1" w:styleId="FooterChar">
    <w:name w:val="Footer Char"/>
    <w:basedOn w:val="DefaultParagraphFont"/>
    <w:link w:val="Footer"/>
    <w:uiPriority w:val="99"/>
    <w:rsid w:val="00E2323A"/>
    <w:rPr>
      <w:rFonts w:ascii="Times New Roman" w:eastAsia="Times New Roman" w:hAnsi="Times New Roman" w:cs="Times New Roman"/>
      <w:sz w:val="24"/>
      <w:szCs w:val="24"/>
    </w:rPr>
  </w:style>
  <w:style w:type="paragraph" w:styleId="Revision">
    <w:name w:val="Revision"/>
    <w:hidden/>
    <w:uiPriority w:val="99"/>
    <w:semiHidden/>
    <w:rsid w:val="00B3632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9411A"/>
    <w:pPr>
      <w:spacing w:before="100" w:beforeAutospacing="1" w:after="100" w:afterAutospacing="1"/>
    </w:pPr>
    <w:rPr>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504945">
      <w:bodyDiv w:val="1"/>
      <w:marLeft w:val="0"/>
      <w:marRight w:val="0"/>
      <w:marTop w:val="0"/>
      <w:marBottom w:val="0"/>
      <w:divBdr>
        <w:top w:val="none" w:sz="0" w:space="0" w:color="auto"/>
        <w:left w:val="none" w:sz="0" w:space="0" w:color="auto"/>
        <w:bottom w:val="none" w:sz="0" w:space="0" w:color="auto"/>
        <w:right w:val="none" w:sz="0" w:space="0" w:color="auto"/>
      </w:divBdr>
    </w:div>
    <w:div w:id="712651731">
      <w:bodyDiv w:val="1"/>
      <w:marLeft w:val="0"/>
      <w:marRight w:val="0"/>
      <w:marTop w:val="0"/>
      <w:marBottom w:val="0"/>
      <w:divBdr>
        <w:top w:val="none" w:sz="0" w:space="0" w:color="auto"/>
        <w:left w:val="none" w:sz="0" w:space="0" w:color="auto"/>
        <w:bottom w:val="none" w:sz="0" w:space="0" w:color="auto"/>
        <w:right w:val="none" w:sz="0" w:space="0" w:color="auto"/>
      </w:divBdr>
    </w:div>
    <w:div w:id="938875826">
      <w:bodyDiv w:val="1"/>
      <w:marLeft w:val="0"/>
      <w:marRight w:val="0"/>
      <w:marTop w:val="0"/>
      <w:marBottom w:val="0"/>
      <w:divBdr>
        <w:top w:val="none" w:sz="0" w:space="0" w:color="auto"/>
        <w:left w:val="none" w:sz="0" w:space="0" w:color="auto"/>
        <w:bottom w:val="none" w:sz="0" w:space="0" w:color="auto"/>
        <w:right w:val="none" w:sz="0" w:space="0" w:color="auto"/>
      </w:divBdr>
    </w:div>
    <w:div w:id="958679386">
      <w:bodyDiv w:val="1"/>
      <w:marLeft w:val="0"/>
      <w:marRight w:val="0"/>
      <w:marTop w:val="0"/>
      <w:marBottom w:val="0"/>
      <w:divBdr>
        <w:top w:val="none" w:sz="0" w:space="0" w:color="auto"/>
        <w:left w:val="none" w:sz="0" w:space="0" w:color="auto"/>
        <w:bottom w:val="none" w:sz="0" w:space="0" w:color="auto"/>
        <w:right w:val="none" w:sz="0" w:space="0" w:color="auto"/>
      </w:divBdr>
    </w:div>
    <w:div w:id="1092776671">
      <w:bodyDiv w:val="1"/>
      <w:marLeft w:val="0"/>
      <w:marRight w:val="0"/>
      <w:marTop w:val="0"/>
      <w:marBottom w:val="0"/>
      <w:divBdr>
        <w:top w:val="none" w:sz="0" w:space="0" w:color="auto"/>
        <w:left w:val="none" w:sz="0" w:space="0" w:color="auto"/>
        <w:bottom w:val="none" w:sz="0" w:space="0" w:color="auto"/>
        <w:right w:val="none" w:sz="0" w:space="0" w:color="auto"/>
      </w:divBdr>
    </w:div>
    <w:div w:id="1335182244">
      <w:bodyDiv w:val="1"/>
      <w:marLeft w:val="0"/>
      <w:marRight w:val="0"/>
      <w:marTop w:val="0"/>
      <w:marBottom w:val="0"/>
      <w:divBdr>
        <w:top w:val="none" w:sz="0" w:space="0" w:color="auto"/>
        <w:left w:val="none" w:sz="0" w:space="0" w:color="auto"/>
        <w:bottom w:val="none" w:sz="0" w:space="0" w:color="auto"/>
        <w:right w:val="none" w:sz="0" w:space="0" w:color="auto"/>
      </w:divBdr>
    </w:div>
    <w:div w:id="1352876777">
      <w:bodyDiv w:val="1"/>
      <w:marLeft w:val="0"/>
      <w:marRight w:val="0"/>
      <w:marTop w:val="0"/>
      <w:marBottom w:val="0"/>
      <w:divBdr>
        <w:top w:val="none" w:sz="0" w:space="0" w:color="auto"/>
        <w:left w:val="none" w:sz="0" w:space="0" w:color="auto"/>
        <w:bottom w:val="none" w:sz="0" w:space="0" w:color="auto"/>
        <w:right w:val="none" w:sz="0" w:space="0" w:color="auto"/>
      </w:divBdr>
    </w:div>
    <w:div w:id="1419866080">
      <w:bodyDiv w:val="1"/>
      <w:marLeft w:val="0"/>
      <w:marRight w:val="0"/>
      <w:marTop w:val="0"/>
      <w:marBottom w:val="0"/>
      <w:divBdr>
        <w:top w:val="none" w:sz="0" w:space="0" w:color="auto"/>
        <w:left w:val="none" w:sz="0" w:space="0" w:color="auto"/>
        <w:bottom w:val="none" w:sz="0" w:space="0" w:color="auto"/>
        <w:right w:val="none" w:sz="0" w:space="0" w:color="auto"/>
      </w:divBdr>
    </w:div>
    <w:div w:id="214338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4F509-77D1-4213-B331-B5E2D52A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10</Pages>
  <Words>4726</Words>
  <Characters>27413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2023-11-10T17:13:00Z</dcterms:created>
  <cp:lastPrinted>2024-01-12T13:59:00Z</cp:lastPrinted>
  <dcterms:modified xsi:type="dcterms:W3CDTF">2024-12-30T05:24:00Z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3dc1f111-3721-4816-bdbb-4f95f7a9dff7</vt:lpwstr>
  </property>
  <property fmtid="{D5CDD505-2E9C-101B-9397-08002B2CF9AE}" pid="3" name="check">
    <vt:lpwstr>NONE</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2024-12-27T07:19:06Z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7dd6bbd1-4693-4d03-9884-5d8c3ea3630d</vt:lpwstr>
  </property>
  <property fmtid="{D5CDD505-2E9C-101B-9397-08002B2CF9AE}" pid="11" name="MSIP_Label_38962dcf-d39f-4edc-a396-338a56ba9170_ContentBits">
    <vt:lpwstr>0</vt:lpwstr>
  </property>
</Properties>
</file>